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Electrical Engineering and Informatics</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hospodárska informatika,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4130</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2.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767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Computer Science</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Ing.</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2</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Business Informatics at FEI TU in Košice is an informatics-oriented study program that educates IT graduates in accordance with current trends, especially the use of data science, including big data processing to support decision-making in various types of processes. A graduate of the business informatics engineering study program is able to analyze, design, create and assess the suitability of deployment for various types of information systems. He has the practical skills necessary for the complex processing and analysis of various data samples, whether from business processes, network operations, or sensors. The graduate is able to manage IT services, operate, and innovate information systems of companies, institutions, and administrative as well as public organizations.</w:t>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The study program is oriented towards the development of deep knowledge and practical skills, including knowledge of contexts and relationships to related fields. It allows students to plan and organize personal learning, develop personal and professional growth in order to fulfill the idea of ​​a knowledge society and a knowledge economy. It develops in students the skills needed to creatively solve theoretical and practical tasks in the field by applying the latest knowledge of science and technology with the support of the latest technologies. As an integral part of the graduate's portfolio, he also develops social and civic competencies, for example through discussions.</w:t>
        <w:br/>
        <w:t>The educational goals of this study program integrate not only the strategic goals in the field of education established in the long-term plan of the Technical University in Košice but also the requirements of employers specified in the National System of Occupations and the National System of Qualifications, the EHEA qualification framework, and the National Classification Framework:</w:t>
        <w:br/>
        <w:t>1. The student will understand and apply the process of discovering knowledge from databases and other data sources, including methods for obtaining models for more efficient management of complex economic systems. The student will also acquire the skills necessary for solving difficult analytical tasks, i.e. develop and propose own solutions to problems, creatively apply acquired knowledge, and make effective decisions when selecting and using methods and tools to analyze different types of data sets for obtaining different types of target knowledge.</w:t>
        <w:br/>
        <w:t>2. The student will acquire basic knowledge in big data processing, methods, approaches, and technologies used in this field. The student will learn about the concepts of grid and cloud computing, distributed, NoSQL and in-memory database systems, and parallel and distributed computing methods. The student will acquire basic skills for designing and implementing applications for big data processing.</w:t>
        <w:br/>
        <w:t>3. The student will master the methods and procedures of solving relatively extensive projects in the field of information systems in practice. It will demonstrate the ability to independently and creatively solve complex tasks, even of a research nature, following current methods and procedures used in the relevant field. Independently, creatively and critically approach the analysis of possible solutions and the creation of models. The result must contain a practical output that will be adequately documented and presented during the thesis defense.</w:t>
        <w:br/>
        <w:t>4. The student will master advanced methods and techniques of machine learning and advanced technologies for developing information technology systems, focusing on searching, creating, and mining knowledge. He will learn to develop and propose his solutions to learning problems of classification and prediction for use in acquiring knowledge from data from various sources, emphasizing the understanding of the methods used. He will learn to creatively apply the acquired knowledge about a wide range of machine learning methods and make effective decisions when choosing and using machine learning methods, techniques and tools. The student will acquire basic knowledge of determining the quality of software products with an emphasis on optimality for the user.</w:t>
        <w:br/>
        <w:t>5. The student will acquire theoretical knowledge of processes and technologies related to the support of knowledge management in organizations. Emphasis is placed on the means of information technology to support knowledge management, but the subject also provides basic knowledge from a managerial point of view. Students will also master the basic principles and methods for information retrieval and selected techniques for extracting knowledge from texts.</w:t>
        <w:br/>
        <w:t>6. The student will acquire knowledge in the field of web technologies in modeling the semantic and social web. They will learn to implement modern information and network technologies and develop and propose their own solutions to problems, creatively apply the acquired knowledge, to make effective decisions when choosing and using methods and means of the social web and semantic technologies. The graduate will master and use object-oriented programming languages, database systems, computer networks, visualization products, and products for intelligent interactions. The student will also learn to design and program semantically enriched systems for economic entities, their tools, and approaches. The student will acquire the latest knowledge for mining knowledge, opinions, attitudes, and emotions in the social web with an orientation towards a deep understanding of the semantics of data of an economic and other nature.</w:t>
        <w:br/>
        <w:t xml:space="preserve">7. The student will obtain information about selected new trends in business informatics research, the methodological foundations of research work, and the analysis of information sources. </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The graduate profile includes knowledge, skills, and competencies (covered by relevant subjects):</w:t>
        <w:br/>
        <w:t>- can recognize problems in time and name them correctly; he analyzes them from different points of view. He knows how to use the acquired knowledge and can creatively solve problems in new, unfamiliar environments. He knows how to synthesize a new solution and looks at the result with an emphasis on originality, complexity, added value, and ethical and social responsibility.</w:t>
        <w:br/>
        <w:t>- Has developed skills to learn independently; demonstrates the knowledge and understanding needed to apply research-related concepts, even in new situations or unfamiliar environments.</w:t>
        <w:br/>
        <w:t>- Demonstrates knowledge and understanding beyond a first degree in obtaining and recording user requirements in software development; knows the methodologies of modeling information flows, interfaces or users. Analyzes requirements for an information system/software system and creates an analytical model using the UML language.</w:t>
        <w:br/>
        <w:t>- Can clearly and unambiguously communicate information about the procedure and results of solving tasks, conclusions, and justifications to experts, lay recipients, or the public. Masters presentation creation according to the requirements and the situation, the ability to adapt to the audience, and answer questions.</w:t>
        <w:br/>
        <w:t>- Demonstrates analytical and critical thinking beyond the scope of the first degree of university studies, uses internal motivation and has a creative and flexible approach to solving assigned tasks. It affects decision-making in projects related mainly to analytical tasks, goals, and solutions in broader contexts beyond the field of study.</w:t>
        <w:br/>
        <w:t>- Actively acquires and processes information from primary and secondary sources, including mastering and using modern information technologies. She is ethically and socially responsible in the case of incomplete information or information beyond the field.</w:t>
        <w:br/>
        <w:t>- Demonstrates advanced knowledge and understanding of procedures for working with advanced statistical tools or using appropriate scripting environments.</w:t>
        <w:br/>
        <w:t>- Can integrate the knowledge, methods, and techniques necessary to perform analytical activities with data of various types from various sources. Can manage complexity and formulate decisions in advanced data, mathematical and statistical analysis to extract added value from disparate data.</w:t>
        <w:br/>
        <w:t>- Can analyze, modify and design algorithms, programs, or scripts necessary for data analysis, processing, and visualization of results. At the same time, he can use and deploy tools, platforms, and algorithms for working with extensive data in broader contexts beyond the field of study - the so-called Big data.</w:t>
        <w:br/>
        <w:t>- He knows how to use the acquired skills, how to organize his work effectively, and achieves the desired result in the agreed time individually or as a member of a project team. He is ready to handle stressful situations or obstacles. He actively approaches the fulfillment of set tasks, synthesizes new solutions, and comes up with suggestions for changes or improvements that he can communicate clearly and unambiguously.</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Dátový expert 7</w:t>
        <w:br/>
        <w:t xml:space="preserve">          Vývojár multimediálnych aplikácií 7</w:t>
        <w:br/>
        <w:t xml:space="preserve">          Riadiaci pracovník (manažér) riešení informačných techn... 7</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https://uplatnenie.sk/?degree=V%C5%A0&amp;vs=709000000&amp;faculty=709040000&amp;field=6292T00&amp;year=2018</w:t>
          <w:br/>
        </w:r>
      </w:hyperlink>
      <w:r>
        <w:rPr>
          <w:rFonts w:ascii="" w:hAnsi="" w:cs="" w:eastAsia=""/>
          <w:sz w:val="20"/>
          <w:b w:val="off"/>
          <w:i w:val="on"/>
          <w:u w:val="none"/>
          <w:color w:val=""/>
        </w:rPr>
        <w:t xml:space="preserve">
Number of graduates: 40
Average salary: 1630 euros
Half of the graduates earned more than 1686 euros
TOP 3 industries in which graduates worked:
- Information and communication (66%)
- Industrial production (10%)
- Construction (7%)
TOP 3 jobs in which graduates worked:
- System administrators (14%)
- Accounting professionals (14%)
- Electrical engineers and energy specialists (10%)
Employment: 78%
Contract workers: 3%
SZČO: 8%
On maternity leave: 3%
Unemployed: 0%
Continuing studies: 0%
Others (working abroad, voluntarily unemployed): 10%
Year: 2019
Source: </w:t>
      </w:r>
      <w:hyperlink r:id="rId14">
        <w:r>
          <w:rPr>
            <w:rFonts w:ascii="" w:hAnsi="" w:cs="" w:eastAsia=""/>
            <w:sz w:val="20"/>
            <w:b w:val="off"/>
            <w:i w:val="on"/>
            <w:u w:val="single"/>
            <w:color w:val="0000FF"/>
          </w:rPr>
          <w:t>https://uplatnenie.sk/?degree=V%C5%A0&amp;vs=709000000&amp;faculty=709040000&amp;field=6292T00&amp;year=2019</w:t>
          <w:br/>
        </w:r>
      </w:hyperlink>
      <w:r>
        <w:rPr>
          <w:rFonts w:ascii="" w:hAnsi="" w:cs="" w:eastAsia=""/>
          <w:sz w:val="20"/>
          <w:b w:val="off"/>
          <w:i w:val="on"/>
          <w:u w:val="none"/>
          <w:color w:val=""/>
        </w:rPr>
        <w:t xml:space="preserve">
Number of graduates: 40
Average salary: 1272 euros
Half of the graduates earned more than 1263 euros
TOP 3 industries in which graduates worked:
- Information and communication (63%)
- Professional, scientific and technical activities (10%)
- Industrial production (7%)
TOP 3 jobs in which graduates worked:
- Software developers (20%)
- Specialists in the field of accounting and financial control (17%)
- Application programmers (13%)
Employment: 78%
Contract workers: 8%
SZČO: 8%
On maternity leave: 0%
Unemployed: 8%
Continuing studies: 0%
Others (working abroad, voluntarily unemployed): 0%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Here are some examples of successful graduates of this study program:</w:t>
        <w:br/>
        <w:t>• Pavol Miroššay, CEO &amp; Chairman of the Board at Slovensko IT, a.s</w:t>
        <w:br/>
        <w:t>• Karol Grulling, Program Director at Ness Digital Engineering</w:t>
        <w:br/>
        <w:t>• Juraj Cichanský, Business Intelligence Developer at IT-Impulse s.r.o.</w:t>
        <w:br/>
        <w:t>• Vladimír Gašpar, Software Engineer - Senior Analyst at Accenture</w:t>
        <w:br/>
        <w:t>• Martin Miškuf, Developer at Gazprom Marketing &amp; Trading. London</w:t>
        <w:br/>
        <w:t>• Karin Baffy, Salesforce Marketing Cloud Consultant, IBM</w:t>
        <w:br/>
        <w:t>• Peter Koncz, Senior Data Analyst at NESS Košice</w:t>
        <w:br/>
        <w:t>• Michaela Kozelová, Head of Team at Deutsche Telekom IT Solutions Slovakia</w:t>
        <w:br/>
        <w:t>• Cecília Havrilová, Senior Salesforce.com Consultant at IBM</w:t>
        <w:br/>
        <w:t>• Peter Bereščák, Associate Director - Sr. MicroStrategy Developer at UBS Switzerland</w:t>
        <w:br/>
        <w:t>• Martin Repka, Engineering Manager at Teradata</w:t>
        <w:br/>
        <w:t>• Martin Petrík, SAP Client Capability Lead at DXC Technology</w:t>
        <w:br/>
        <w:t>• Dominik Mesároš, Python process automation Developer at Visma Labs</w:t>
        <w:br/>
        <w:t>• Roman Veselý, FrontEnd Technical Leader at Eleveo</w:t>
        <w:br/>
        <w:t>• Adela Tušanová, IT Project Manager &amp; Process Consultant at Deutsche Telekom IT Solutions Slovakia</w:t>
        <w:br/>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Completed forms "Statement of authority from practice to the SP" from two representatives of employers form an attachment to the minutes of the meeting of the SP HI Council (2nd stage) dated 6/29/2022.</w:t>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https://maisportal.tuke.sk/portal/studijneProgramy.mais?spsId=48670149&amp;arksId=47507289&amp;fakultaId=6878&amp;lang=sk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https://maisportal.tuke.sk/portal/studijneProgramy.mais?spsId=48670149&amp;arksId=47507289&amp;fakultaId=6878&amp;lang=sk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9">
        <w:r>
          <w:rPr>
            <w:rFonts w:ascii="" w:hAnsi="" w:cs="" w:eastAsia=""/>
            <w:sz w:val="20"/>
            <w:b w:val="off"/>
            <w:i w:val="off"/>
            <w:u w:val="single"/>
            <w:color w:val="0000FF"/>
          </w:rPr>
          <w:t>https://www.fei.tuke.sk/sk/studium/bakalarske-studium/harmonogram-studia</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Ján Paralič, PhD., </w:t>
      </w:r>
      <w:r w:rsidR="00505A88">
        <w:rPr>
          <w:rFonts w:cstheme="minorHAnsi"/>
          <w:i/>
          <w:iCs/>
          <w:sz w:val="20"/>
          <w:szCs w:val="20"/>
          <w:lang w:val="en-GB"/>
        </w:rPr>
        <w:t/>
      </w:r>
      <w:r w:rsidRPr="00BA4B69">
        <w:rPr>
          <w:rFonts w:cstheme="minorHAnsi"/>
          <w:i/>
          <w:iCs/>
          <w:sz w:val="20"/>
          <w:szCs w:val="20"/>
          <w:lang w:val="en-GB"/>
        </w:rPr>
        <w:t xml:space="preserve">jan.paralic@tuke.sk, </w:t>
      </w:r>
      <w:r w:rsidR="00505A88">
        <w:rPr>
          <w:rFonts w:cstheme="minorHAnsi"/>
          <w:i/>
          <w:iCs/>
          <w:sz w:val="20"/>
          <w:szCs w:val="20"/>
          <w:lang w:val="en-GB"/>
        </w:rPr>
        <w:t/>
      </w:r>
      <w:r w:rsidRPr="00BA4B69">
        <w:rPr>
          <w:rFonts w:cstheme="minorHAnsi"/>
          <w:i/>
          <w:iCs/>
          <w:sz w:val="20"/>
          <w:szCs w:val="20"/>
          <w:lang w:val="en-GB"/>
        </w:rPr>
        <w:t>+421 55 6024128</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Ján Paralič, PhD., jan.paralic@tuke.sk, +421 55 6024128</w:t>
        <w:br/>
        <w:t xml:space="preserve">          doc. Ing. František Babič, PhD., frantisek.babic@tuke.sk, +421 55 6022226,+421 55 6024220</w:t>
        <w:br/>
        <w:t xml:space="preserve">          doc. Ing. Peter Butka, PhD., peter.butka@tuke.sk, +421 55 6024280</w:t>
        <w:br/>
        <w:t xml:space="preserve">          doc. Ing. Peter Bednár, PhD., peter.bednar@tuke.sk, +421 55 6024219</w:t>
        <w:br/>
        <w:t xml:space="preserve">          prof. Ing. Kristína Machová, PhD., kristina.machova@tuke.sk, +421 55 6024142</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Ján Paralič, PhD., </w:t>
      </w:r>
      <w:hyperlink r:id="rId20">
        <w:r>
          <w:rPr>
            <w:rFonts w:ascii="" w:hAnsi="" w:cs="" w:eastAsia=""/>
            <w:sz w:val="20"/>
            <w:b w:val="off"/>
            <w:i w:val="on"/>
            <w:u w:val="single"/>
            <w:color w:val="0000FF"/>
          </w:rPr>
          <w:t>https://res.tuke.sk/api/vupch/1665/export</w:t>
          <w:br/>
        </w:r>
      </w:hyperlink>
      <w:r>
        <w:rPr>
          <w:rFonts w:ascii="" w:hAnsi="" w:cs="" w:eastAsia=""/>
          <w:sz w:val="20"/>
          <w:b w:val="off"/>
          <w:i w:val="on"/>
          <w:u w:val="none"/>
          <w:color w:val=""/>
        </w:rPr>
        <w:t xml:space="preserve">
doc. Ing. František Babič, PhD., </w:t>
      </w:r>
      <w:hyperlink r:id="rId21">
        <w:r>
          <w:rPr>
            <w:rFonts w:ascii="" w:hAnsi="" w:cs="" w:eastAsia=""/>
            <w:sz w:val="20"/>
            <w:b w:val="off"/>
            <w:i w:val="on"/>
            <w:u w:val="single"/>
            <w:color w:val="0000FF"/>
          </w:rPr>
          <w:t>https://res.tuke.sk/api/vupch/8080/export</w:t>
          <w:br/>
        </w:r>
      </w:hyperlink>
      <w:r>
        <w:rPr>
          <w:rFonts w:ascii="" w:hAnsi="" w:cs="" w:eastAsia=""/>
          <w:sz w:val="20"/>
          <w:b w:val="off"/>
          <w:i w:val="on"/>
          <w:u w:val="none"/>
          <w:color w:val=""/>
        </w:rPr>
        <w:t xml:space="preserve">
doc. Ing. Peter Butka, PhD., </w:t>
      </w:r>
      <w:hyperlink r:id="rId22">
        <w:r>
          <w:rPr>
            <w:rFonts w:ascii="" w:hAnsi="" w:cs="" w:eastAsia=""/>
            <w:sz w:val="20"/>
            <w:b w:val="off"/>
            <w:i w:val="on"/>
            <w:u w:val="single"/>
            <w:color w:val="0000FF"/>
          </w:rPr>
          <w:t>https://res.tuke.sk/api/vupch/6083/export</w:t>
          <w:br/>
        </w:r>
      </w:hyperlink>
      <w:r>
        <w:rPr>
          <w:rFonts w:ascii="" w:hAnsi="" w:cs="" w:eastAsia=""/>
          <w:sz w:val="20"/>
          <w:b w:val="off"/>
          <w:i w:val="on"/>
          <w:u w:val="none"/>
          <w:color w:val=""/>
        </w:rPr>
        <w:t xml:space="preserve">
doc. Ing. Peter Bednár, PhD., </w:t>
      </w:r>
      <w:hyperlink r:id="rId23">
        <w:r>
          <w:rPr>
            <w:rFonts w:ascii="" w:hAnsi="" w:cs="" w:eastAsia=""/>
            <w:sz w:val="20"/>
            <w:b w:val="off"/>
            <w:i w:val="on"/>
            <w:u w:val="single"/>
            <w:color w:val="0000FF"/>
          </w:rPr>
          <w:t>https://res.tuke.sk/api/vupch/2950/export</w:t>
          <w:br/>
        </w:r>
      </w:hyperlink>
      <w:r>
        <w:rPr>
          <w:rFonts w:ascii="" w:hAnsi="" w:cs="" w:eastAsia=""/>
          <w:sz w:val="20"/>
          <w:b w:val="off"/>
          <w:i w:val="on"/>
          <w:u w:val="none"/>
          <w:color w:val=""/>
        </w:rPr>
        <w:t xml:space="preserve">
prof. Ing. Kristína Machová, PhD., </w:t>
      </w:r>
      <w:hyperlink r:id="rId24">
        <w:r>
          <w:rPr>
            <w:rFonts w:ascii="" w:hAnsi="" w:cs="" w:eastAsia=""/>
            <w:sz w:val="20"/>
            <w:b w:val="off"/>
            <w:i w:val="on"/>
            <w:u w:val="single"/>
            <w:color w:val="0000FF"/>
          </w:rPr>
          <w:t>https://res.tuke.sk/api/vupch/1367/export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https://maisportal.tuke.sk/portal/studijneProgramy.mais?spsId=48670149&amp;arksId=47507289&amp;fakultaId=6878&amp;lang=sk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6">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Lívia Muranková, livia.murankova@student.tuke.sk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doc. Ing. František Babič, PhD., </w:t>
      </w:r>
      <w:r w:rsidR="00505A88">
        <w:rPr>
          <w:rFonts w:cstheme="minorHAnsi"/>
          <w:i/>
          <w:iCs/>
          <w:sz w:val="20"/>
          <w:szCs w:val="20"/>
          <w:lang w:val="en-GB"/>
        </w:rPr>
        <w:t/>
      </w:r>
      <w:r w:rsidRPr="00BA4B69">
        <w:rPr>
          <w:rFonts w:cstheme="minorHAnsi"/>
          <w:i/>
          <w:iCs/>
          <w:sz w:val="20"/>
          <w:szCs w:val="20"/>
          <w:lang w:val="en-GB"/>
        </w:rPr>
        <w:t xml:space="preserve">frantisek.babic@tuke.sk, </w:t>
      </w:r>
      <w:r w:rsidR="00505A88">
        <w:rPr>
          <w:rFonts w:cstheme="minorHAnsi"/>
          <w:i/>
          <w:iCs/>
          <w:sz w:val="20"/>
          <w:szCs w:val="20"/>
          <w:lang w:val="en-GB"/>
        </w:rPr>
        <w:t/>
      </w:r>
      <w:r w:rsidRPr="00BA4B69">
        <w:rPr>
          <w:rFonts w:cstheme="minorHAnsi"/>
          <w:i/>
          <w:iCs/>
          <w:sz w:val="20"/>
          <w:szCs w:val="20"/>
          <w:lang w:val="en-GB"/>
        </w:rPr>
        <w:t>+421 55 6022226,+421 55 6024220</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7">
        <w:r>
          <w:rPr>
            <w:rFonts w:ascii="" w:hAnsi="" w:cs="" w:eastAsia=""/>
            <w:sz w:val="20"/>
            <w:b w:val="off"/>
            <w:i w:val="off"/>
            <w:u w:val="single"/>
            <w:color w:val="0000FF"/>
          </w:rPr>
          <w:t>https://www.fei.tuke.sk/sk/fakulta/dekanat/studijne-oddelenie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Specialized laboratories: Data analytics laboratory (24 places/12 PCs), Big data processing laboratory (18/9). These laboratories provide hardware (PC) and software equipment necessary for teaching relevant profile subjects and solving diploma theses.
From the mentioned laboratories, the supporting technical and software infrastructure created and operated within the Center of Economic Informatics at the Department of Cybernetics and Artificial Intelligence of the FEI is accessible, which consists of:
1. A private cloud cluster consisting of 10 servers with a total capacity of 156 CPUs and 724 GB of RAM with a storage capacity of more than 6 TB and shared disk space with a capacity of more than 100 TB; including servers equipped with cards for GPU calculations (TESLA K-40c, Quatro RTX4000, Quatro P4000).
2. Integrated DataLab cloud environment for research and teaching, which provides tools for data analytics and big data processing technologies, including database storage and frameworks for distributed computing and deep learning: </w:t>
      </w:r>
      <w:hyperlink r:id="rId28">
        <w:r>
          <w:rPr>
            <w:rFonts w:ascii="" w:hAnsi="" w:cs="" w:eastAsia=""/>
            <w:sz w:val="20"/>
            <w:b w:val="off"/>
            <w:i w:val="on"/>
            <w:u w:val="single"/>
            <w:color w:val="0000FF"/>
          </w:rPr>
          <w:t>https://datalab.kkui.fei.tuke.sk</w:t>
          <w:br/>
        </w:r>
      </w:hyperlink>
      <w:r>
        <w:rPr>
          <w:rFonts w:ascii="" w:hAnsi="" w:cs="" w:eastAsia=""/>
          <w:sz w:val="20"/>
          <w:b w:val="off"/>
          <w:i w:val="on"/>
          <w:u w:val="none"/>
          <w:color w:val=""/>
        </w:rPr>
        <w:t xml:space="preserve">
TECHNICOM University Science Park (</w:t>
      </w:r>
      <w:hyperlink r:id="rId29">
        <w:r>
          <w:rPr>
            <w:rFonts w:ascii="" w:hAnsi="" w:cs="" w:eastAsia=""/>
            <w:sz w:val="20"/>
            <w:b w:val="off"/>
            <w:i w:val="on"/>
            <w:u w:val="single"/>
            <w:color w:val="0000FF"/>
          </w:rPr>
          <w:t>https://uvptechnicom.sk/sk):</w:t>
          <w:br/>
        </w:r>
      </w:hyperlink>
      <w:r>
        <w:rPr>
          <w:rFonts w:ascii="" w:hAnsi="" w:cs="" w:eastAsia=""/>
          <w:sz w:val="20"/>
          <w:b w:val="off"/>
          <w:i w:val="on"/>
          <w:u w:val="none"/>
          <w:color w:val=""/>
        </w:rPr>
        <w:t xml:space="preserve"> Startup center, Incubator, business acceleration
The University Library (</w:t>
      </w:r>
      <w:hyperlink r:id="rId30">
        <w:r>
          <w:rPr>
            <w:rFonts w:ascii="" w:hAnsi="" w:cs="" w:eastAsia=""/>
            <w:sz w:val="20"/>
            <w:b w:val="off"/>
            <w:i w:val="on"/>
            <w:u w:val="single"/>
            <w:color w:val="0000FF"/>
          </w:rPr>
          <w:t>http://www.lib.tuke.sk/)</w:t>
          <w:br/>
        </w:r>
      </w:hyperlink>
      <w:r>
        <w:rPr>
          <w:rFonts w:ascii="" w:hAnsi="" w:cs="" w:eastAsia=""/>
          <w:sz w:val="20"/>
          <w:b w:val="off"/>
          <w:i w:val="on"/>
          <w:u w:val="none"/>
          <w:color w:val=""/>
        </w:rPr>
        <w:t xml:space="preserve"> provides conference rooms to arrange lectures or events of partners from practice, such as conferences, hackathons, workshops, etc.
Additional information is available at: </w:t>
      </w:r>
      <w:hyperlink r:id="rId31">
        <w:r>
          <w:rPr>
            <w:rFonts w:ascii="" w:hAnsi="" w:cs="" w:eastAsia=""/>
            <w:sz w:val="20"/>
            <w:b w:val="off"/>
            <w:i w:val="on"/>
            <w:u w:val="single"/>
            <w:color w:val="0000FF"/>
          </w:rPr>
          <w:t>https://hi.kkui.fei.tuke.sk/laboratoria-inzinierske-studium.html</w:t>
          <w:br/>
        </w:r>
      </w:hyperlink>
      <w:r>
        <w:rPr>
          <w:rFonts w:ascii="" w:hAnsi="" w:cs="" w:eastAsia=""/>
          <w:sz w:val="20"/>
          <w:b w:val="off"/>
          <w:i w:val="on"/>
          <w:u w:val="none"/>
          <w:color w:val=""/>
        </w:rPr>
        <w:t xml:space="preserve">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study literature and information databases is provided through the TUKE University Library: </w:t>
      </w:r>
      <w:hyperlink r:id="rId32">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Access to information technology is ensured through the Institute of Computing Technology TUKE: </w:t>
      </w:r>
      <w:hyperlink r:id="rId33">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In addition, within the Center for Business Informatics at the FEI Department of Cybernetics and Artificial Intelligence, we operate:
1. A private cloud cluster consisting of 10 servers with a total capacity of 156 CPUs and 724 GB of RAM with a storage capacity of more than 6 TB and shared disk space with a capacity of more than 100 TB; including servers equipped with cards for GPU calculations (TESLA K-40c, Quatro RTX4000, Quatro P4000).
2. Integrated DataLab cloud environment for research and teaching, which provides tools for data analytics and big data processing technologies, including database storage and frameworks for distributed computing and deep learning: </w:t>
      </w:r>
      <w:hyperlink r:id="rId34">
        <w:r>
          <w:rPr>
            <w:rFonts w:ascii="" w:hAnsi="" w:cs="" w:eastAsia=""/>
            <w:sz w:val="20"/>
            <w:b w:val="off"/>
            <w:i w:val="on"/>
            <w:u w:val="single"/>
            <w:color w:val="0000FF"/>
          </w:rPr>
          <w:t>https://datalab.kkui.fei.tuke.sk</w:t>
          <w:br/>
        </w:r>
      </w:hyperlink>
      <w:r>
        <w:rPr>
          <w:rFonts w:ascii="" w:hAnsi="" w:cs="" w:eastAsia=""/>
          <w:sz w:val="20"/>
          <w:b w:val="off"/>
          <w:i w:val="on"/>
          <w:u w:val="none"/>
          <w:color w:val=""/>
        </w:rPr>
        <w:t xml:space="preserve">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Distance education is a full-fledged substitute for face-to-face education. The scope of distance learning is determined by the relevant situation and the measures taken that limit the face-to-face form of study.</w:t>
        <w:br/>
        <w:t>As part of distance education, suitable active learning methods are used to provide students with interactive, compelling, and interesting teaching.</w:t>
        <w:br/>
        <w:t>As a rule, distance education takes place through a software platform supporting educational activities and collaborative study Microsoft Teams. Lectures and other educational activities take place within this platform, respecting the requirements and possibilities of students.</w:t>
        <w:br/>
        <w:t>Access to the Microsoft Teams platform is free for both TUKE employees and students.</w:t>
        <w:br/>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Study materials are available through the Microsoft Teams software platform supporting educational activities and collaborative study or the Moodle e-learning portal, which is also used to verify students' knowledge and the level of achievement of planned educational outcomes. Lectures, exercises or consultations with students also take place via the CISCO Webex communication platform. Access to these tools is free for both TUKE employees and students.
</w:t>
      </w:r>
      <w:hyperlink r:id="rId35">
        <w:r>
          <w:rPr>
            <w:rFonts w:ascii="" w:hAnsi="" w:cs="" w:eastAsia=""/>
            <w:sz w:val="20"/>
            <w:b w:val="off"/>
            <w:i w:val="on"/>
            <w:u w:val="single"/>
            <w:color w:val="0000FF"/>
          </w:rPr>
          <w:t>https://uvt.tuke.sk/wps/portal/uv/software/microsoft-office365</w:t>
          <w:br/>
        </w:r>
      </w:hyperlink>
      <w:r>
        <w:rPr>
          <w:rFonts w:ascii="" w:hAnsi="" w:cs="" w:eastAsia=""/>
          <w:sz w:val="20"/>
          <w:b w:val="off"/>
          <w:i w:val="on"/>
          <w:u w:val="none"/>
          <w:color w:val=""/>
        </w:rPr>
        <w:t xml:space="preserve">
</w:t>
      </w:r>
      <w:hyperlink r:id="rId36">
        <w:r>
          <w:rPr>
            <w:rFonts w:ascii="" w:hAnsi="" w:cs="" w:eastAsia=""/>
            <w:sz w:val="20"/>
            <w:b w:val="off"/>
            <w:i w:val="on"/>
            <w:u w:val="single"/>
            <w:color w:val="0000FF"/>
          </w:rPr>
          <w:t>https://uvt.tuke.sk/wps/portal/uv/sluzby/webex/prihlasenie-sa-do-webex</w:t>
          <w:br/>
        </w:r>
      </w:hyperlink>
      <w:r>
        <w:rPr>
          <w:rFonts w:ascii="" w:hAnsi="" w:cs="" w:eastAsia=""/>
          <w:sz w:val="20"/>
          <w:b w:val="off"/>
          <w:i w:val="on"/>
          <w:u w:val="none"/>
          <w:color w:val=""/>
        </w:rPr>
        <w:t xml:space="preserve">
</w:t>
      </w:r>
      <w:hyperlink r:id="rId37">
        <w:r>
          <w:rPr>
            <w:rFonts w:ascii="" w:hAnsi="" w:cs="" w:eastAsia=""/>
            <w:sz w:val="20"/>
            <w:b w:val="off"/>
            <w:i w:val="on"/>
            <w:u w:val="single"/>
            <w:color w:val="0000FF"/>
          </w:rPr>
          <w:t>http://moodle.tuke.sk/</w:t>
          <w:br/>
        </w:r>
      </w:hyperlink>
      <w:r>
        <w:rPr>
          <w:rFonts w:ascii="" w:hAnsi="" w:cs="" w:eastAsia=""/>
          <w:sz w:val="20"/>
          <w:b w:val="off"/>
          <w:i w:val="on"/>
          <w:u w:val="none"/>
          <w:color w:val=""/>
        </w:rPr>
        <w:t xml:space="preserve">
</w:t>
      </w:r>
      <w:hyperlink r:id="rId38">
        <w:r>
          <w:rPr>
            <w:rFonts w:ascii="" w:hAnsi="" w:cs="" w:eastAsia=""/>
            <w:sz w:val="20"/>
            <w:b w:val="off"/>
            <w:i w:val="on"/>
            <w:u w:val="single"/>
            <w:color w:val="0000FF"/>
          </w:rPr>
          <w:t>https://kkui.fei.tuke.sk/chi/moodle/</w:t>
          <w:br/>
        </w:r>
      </w:hyperlink>
      <w:r>
        <w:rPr>
          <w:rFonts w:ascii="" w:hAnsi="" w:cs="" w:eastAsia=""/>
          <w:sz w:val="20"/>
          <w:b w:val="off"/>
          <w:i w:val="on"/>
          <w:u w:val="none"/>
          <w:color w:val=""/>
        </w:rPr>
        <w:t xml:space="preserve">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procedure of transition from full-time to distance learning is determined by the situation and conditions under which this procedure must be implemented. A transition to complete distance education is considered, i.e. lectures, computational or laboratory exercises, and seminars in online form without difference in the number of graduating students. The transition to a hybrid form means online lectures due to higher numbers of students and exercises or seminars in face-to-face form while respecting the relevant measures and restrictions. The decision on the appropriate procedure takes place at the level of the faculty college of the dean and then the department management.</w:t>
        <w:br/>
        <w:t/>
        <w:br/>
        <w:t>In cases where the situation does not allow the defense of final theses to be carried out in a standard way, the FEI Dean's Instruction for ensuring the availability of materials to the committee for the defense of bachelor's, engineering and doctoral theses through audiovisual transmission (PD/FEITUKE/05/20) is applied to FEI TUKE.</w:t>
        <w:br/>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External partners participate in the provision of educational activities in the business informatics engineering study program in several ways:</w:t>
        <w:br/>
        <w:t>1. By providing a group of elective subjects that appropriately complement the profile of the graduate. These are 6 subjects within the SAP academy (teaching provided by members of the IT Valley Košice association), which are divided into two triads of related subjects. In addition, it is a subject of Skills for Success, where several companies associated with the Business Service Center of the Forum under the banner of the American Chamber of Commerce in Slovakia are involved.</w:t>
        <w:br/>
        <w:t>- Deutsche Telekom IT Solutions Slovakia: transferable competences – verbal and non-verbal communication (seminar), transferable competences – time management (seminar).</w:t>
        <w:br/>
        <w:t>- IBM Košice: transferable competences – feedback (seminar), transferable competences – teamwork (seminar).</w:t>
        <w:br/>
        <w:t>- NIDEC Global Appliance Košice: transferable competences – conflict management (seminar).</w:t>
        <w:br/>
        <w:t>- AT&amp;T Košice: transferable competences – presentation skills (seminar).</w:t>
        <w:br/>
        <w:t>2. In the form of invited lectures from practice, usually in the scope of one, maximum two lectures per semester. More invited lectures from practice are within the subject Current trends in business informatics.</w:t>
        <w:br/>
        <w:t>3. Review and support of teaching materials for the subject Discovering knowledge in databases (IBM Košice).</w:t>
        <w:br/>
        <w:t>4. Definition and cooperation on the solution of diploma theses.</w:t>
        <w:br/>
        <w:t>5. Participation in the commission for state final exams.</w:t>
        <w:br/>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39">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0">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1">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2">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3">
        <w:r>
          <w:rPr>
            <w:rFonts w:ascii="" w:hAnsi="" w:cs="" w:eastAsia=""/>
            <w:sz w:val="20"/>
            <w:b w:val="off"/>
            <w:i w:val="off"/>
            <w:u w:val="single"/>
            <w:color w:val="0000FF"/>
          </w:rPr>
          <w:t>https://www.fei.tuke.sk/sk/studium/pre-uchadzacov/podmienky-prijatia</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4">
        <w:r>
          <w:rPr>
            <w:rFonts w:ascii="" w:hAnsi="" w:cs="" w:eastAsia=""/>
            <w:sz w:val="20"/>
            <w:b w:val="off"/>
            <w:i w:val="off"/>
            <w:u w:val="single"/>
            <w:color w:val="0000FF"/>
          </w:rPr>
          <w:t>https://www.fei.tuke.sk/sk/studium/pre-uchadzacov/podmienky-prijatia</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5">
        <w:r>
          <w:rPr>
            <w:rFonts w:ascii="" w:hAnsi="" w:cs="" w:eastAsia=""/>
            <w:sz w:val="20"/>
            <w:b w:val="off"/>
            <w:i w:val="off"/>
            <w:u w:val="single"/>
            <w:color w:val="0000FF"/>
          </w:rPr>
          <w:t>https://www.fei.tuke.sk/sk/studium/inzinierske-studium/v%C3%BDsledky-prij%C3%ADmacieho-konania</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6">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7">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48">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49">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50">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40000&amp;field=6292T00&amp;year=2018" TargetMode="External" Type="http://schemas.openxmlformats.org/officeDocument/2006/relationships/hyperlink"/><Relationship Id="rId14" Target="https://uplatnenie.sk/?degree=V%C5%A0&amp;vs=709000000&amp;faculty=709040000&amp;field=6292T00&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maisportal.tuke.sk/portal/studijneProgramy.mais?spsId=48670149&amp;arksId=47507289&amp;fakultaId=6878&amp;lang=sk" TargetMode="External" Type="http://schemas.openxmlformats.org/officeDocument/2006/relationships/hyperlink"/><Relationship Id="rId18" Target="https://maisportal.tuke.sk/portal/studijneProgramy.mais?spsId=48670149&amp;arksId=47507289&amp;fakultaId=6878&amp;lang=sk" TargetMode="External" Type="http://schemas.openxmlformats.org/officeDocument/2006/relationships/hyperlink"/><Relationship Id="rId19" Target="https://www.fei.tuke.sk/sk/studium/bakalarske-studium/harmonogram-studia" TargetMode="External" Type="http://schemas.openxmlformats.org/officeDocument/2006/relationships/hyperlink"/><Relationship Id="rId2" Target="numbering.xml" Type="http://schemas.openxmlformats.org/officeDocument/2006/relationships/numbering"/><Relationship Id="rId20" Target="https://res.tuke.sk/api/vupch/1665/export" TargetMode="External" Type="http://schemas.openxmlformats.org/officeDocument/2006/relationships/hyperlink"/><Relationship Id="rId21" Target="https://res.tuke.sk/api/vupch/8080/export" TargetMode="External" Type="http://schemas.openxmlformats.org/officeDocument/2006/relationships/hyperlink"/><Relationship Id="rId22" Target="https://res.tuke.sk/api/vupch/6083/export" TargetMode="External" Type="http://schemas.openxmlformats.org/officeDocument/2006/relationships/hyperlink"/><Relationship Id="rId23" Target="https://res.tuke.sk/api/vupch/2950/export" TargetMode="External" Type="http://schemas.openxmlformats.org/officeDocument/2006/relationships/hyperlink"/><Relationship Id="rId24" Target="https://res.tuke.sk/api/vupch/1367/export" TargetMode="External" Type="http://schemas.openxmlformats.org/officeDocument/2006/relationships/hyperlink"/><Relationship Id="rId25" Target="https://maisportal.tuke.sk/portal/studijneProgramy.mais?spsId=48670149&amp;arksId=47507289&amp;fakultaId=6878&amp;lang=sk" TargetMode="External" Type="http://schemas.openxmlformats.org/officeDocument/2006/relationships/hyperlink"/><Relationship Id="rId26" Target="https://at.tuke.sk" TargetMode="External" Type="http://schemas.openxmlformats.org/officeDocument/2006/relationships/hyperlink"/><Relationship Id="rId27" Target="https://www.fei.tuke.sk/sk/fakulta/dekanat/studijne-oddelenie" TargetMode="External" Type="http://schemas.openxmlformats.org/officeDocument/2006/relationships/hyperlink"/><Relationship Id="rId28" Target="https://datalab.kkui.fei.tuke.sk" TargetMode="External" Type="http://schemas.openxmlformats.org/officeDocument/2006/relationships/hyperlink"/><Relationship Id="rId29" Target="https://uvptechnicom.sk/sk):" TargetMode="External" Type="http://schemas.openxmlformats.org/officeDocument/2006/relationships/hyperlink"/><Relationship Id="rId3" Target="styles.xml" Type="http://schemas.openxmlformats.org/officeDocument/2006/relationships/styles"/><Relationship Id="rId30" Target="http://www.lib.tuke.sk/)" TargetMode="External" Type="http://schemas.openxmlformats.org/officeDocument/2006/relationships/hyperlink"/><Relationship Id="rId31" Target="https://hi.kkui.fei.tuke.sk/laboratoria-inzinierske-studium.html" TargetMode="External" Type="http://schemas.openxmlformats.org/officeDocument/2006/relationships/hyperlink"/><Relationship Id="rId32" Target="http://www.lib.tuke.sk/Library/Home/DigitalLibrary" TargetMode="External" Type="http://schemas.openxmlformats.org/officeDocument/2006/relationships/hyperlink"/><Relationship Id="rId33" Target="https://uvt.tuke.sk/wps/portal/uv/software" TargetMode="External" Type="http://schemas.openxmlformats.org/officeDocument/2006/relationships/hyperlink"/><Relationship Id="rId34" Target="https://datalab.kkui.fei.tuke.sk" TargetMode="External" Type="http://schemas.openxmlformats.org/officeDocument/2006/relationships/hyperlink"/><Relationship Id="rId35" Target="https://uvt.tuke.sk/wps/portal/uv/software/microsoft-office365" TargetMode="External" Type="http://schemas.openxmlformats.org/officeDocument/2006/relationships/hyperlink"/><Relationship Id="rId36" Target="https://uvt.tuke.sk/wps/portal/uv/sluzby/webex/prihlasenie-sa-do-webex" TargetMode="External" Type="http://schemas.openxmlformats.org/officeDocument/2006/relationships/hyperlink"/><Relationship Id="rId37" Target="http://moodle.tuke.sk/" TargetMode="External" Type="http://schemas.openxmlformats.org/officeDocument/2006/relationships/hyperlink"/><Relationship Id="rId38" Target="https://kkui.fei.tuke.sk/chi/moodle/" TargetMode="External" Type="http://schemas.openxmlformats.org/officeDocument/2006/relationships/hyperlink"/><Relationship Id="rId39" Target="https://studium.tuke.sk/wps/portal/studium/univerzita/info-boxy-texty/studentsky-zivot" TargetMode="External" Type="http://schemas.openxmlformats.org/officeDocument/2006/relationships/hyperlink"/><Relationship Id="rId4" Target="settings.xml" Type="http://schemas.openxmlformats.org/officeDocument/2006/relationships/settings"/><Relationship Id="rId40" Target="https://ktv.tuke.sk/wps/portal" TargetMode="External" Type="http://schemas.openxmlformats.org/officeDocument/2006/relationships/hyperlink"/><Relationship Id="rId41" Target="https://www.tuke.sk/wps/portal/tuke/university/usek-pre-zahranicne-vztahy/referat-mobilitnych-programov" TargetMode="External" Type="http://schemas.openxmlformats.org/officeDocument/2006/relationships/hyperlink"/><Relationship Id="rId42" Target="https://erasmus.tuke.sk" TargetMode="External" Type="http://schemas.openxmlformats.org/officeDocument/2006/relationships/hyperlink"/><Relationship Id="rId43" Target="https://www.fei.tuke.sk/sk/studium/pre-uchadzacov/podmienky-prijatia" TargetMode="External" Type="http://schemas.openxmlformats.org/officeDocument/2006/relationships/hyperlink"/><Relationship Id="rId44" Target="https://www.fei.tuke.sk/sk/studium/pre-uchadzacov/podmienky-prijatia" TargetMode="External" Type="http://schemas.openxmlformats.org/officeDocument/2006/relationships/hyperlink"/><Relationship Id="rId45" Target="https://www.fei.tuke.sk/sk/studium/inzinierske-studium/v%C3%BDsledky-prij%C3%ADmacieho-konania" TargetMode="External" Type="http://schemas.openxmlformats.org/officeDocument/2006/relationships/hyperlink"/><Relationship Id="rId46" Target="https://legislativa.tuke.sk/legislativa/sekcia-pre-zamestnancov/organizacne-smernice/hlavne-procesy/h1-vzdelavanie/os_tuke_h1_01_vzdelavanie_vyd03.pdf/view" TargetMode="External" Type="http://schemas.openxmlformats.org/officeDocument/2006/relationships/hyperlink"/><Relationship Id="rId47" Target="https://www.tuke.sk/wps/portal/tuke/studies/studentske-ankety" TargetMode="External" Type="http://schemas.openxmlformats.org/officeDocument/2006/relationships/hyperlink"/><Relationship Id="rId48" Target="https://tuke.sk/wps/portal/tuke/university/vnutorny-system-kvality/studijne-programy" TargetMode="External" Type="http://schemas.openxmlformats.org/officeDocument/2006/relationships/hyperlink"/><Relationship Id="rId49" Target="https://www.tuke.sk/wps/portal/tuke/studies/legislativa-studia" TargetMode="External" Type="http://schemas.openxmlformats.org/officeDocument/2006/relationships/hyperlink"/><Relationship Id="rId5" Target="webSettings.xml" Type="http://schemas.openxmlformats.org/officeDocument/2006/relationships/webSettings"/><Relationship Id="rId50" Target="https://tuke.sk/wps/portal/tuke/university/legislativa-univerzity/interne-predpisy-a-smernice"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