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elektrotechniky a informatiky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hospodárska informatika,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4130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2.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767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informatika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Ing.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Hospodárska informatika na FEI TU v Košiciach predstavuje informaticky orientovaný študijný program, ktorý vychováva IT absolventov v súlade s aktuálnymi trendmi, najmä využitie dátovej vedy, vrátane spracovania veľkých dát pre podporu rozhodovania v rôznych typoch procesov. Absolvent inžinierskeho študijného programu Hospodárska informatika je schopný analyzovať, navrhovať, vytvoriť a posúdiť vhodnosť nasadenia pre rôzne typy informačných systémov. Má praktické zručnosti potrebné ku komplexnému spracovaniu a analýze rôznych vzoriek dát či už z biznis procesov, sieťovej prevádzky alebo senzorov. Absolvent je schopný spravovať IT služby, prevádzkovať a inovovať informačné systémy podnikov, inštitúcií, obchodných, správnych a verejných organizácií.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Študijný program je orientovaný na rozvoj hlbokých vedomostí a praktických zručností vrátane poznania súvislostí a vzťahov k súvisiacim oblastiam. Umožňuje študentom plánovať a organizovať osobné učenie, rozvíjať osobný a profesionálny rast s cieľom naplniť myšlienku znalostnej spoločnosti a znalostnej ekonomiky. Rozvíja u študentov zručnosti potrebné na tvorivé riešenie teoretických aj praktických úloh v odbore pomocou aplikácie najnovších poznatkov vedy, techniky za podpory najnovších technológií. Ako neoddeliteľnú súčasť portfólia absolventa rozvíja aj spoločenské a občianske kompetencie napríklad prostredníctvom diskusií.</w:t>
        <w:br/>
        <w:t>Ciele vzdelávania tohto študijného programu integrujú nielen strategické ciele v oblasti vzdelávania stanovené v dlhodobom zámere Technickej univerzity v Košiciach, ale aj požiadavky zamestnávateľov špecifikované v Národnej sústave povolaní a Národnej sústave kvalifikácií, kvalifikačný rámec EHEA a Národný klasifikačný rámec:</w:t>
        <w:br/>
        <w:t>1.	Študent bude chápať a aplikovať proces objavovania znalostí z databáz a ďalších typov zdrojov dát, vrátane metód pre získavanie modelov za účelom efektívnejšieho riadenia zložitých ekonomických systémov. Študent získa aj zručnosti potrebné pre riešenie náročných analytických úloh, t.j. rozvíjať a navrhovať vlastné riešenia problémov, tvorivo aplikovať získané poznatky, efektívne sa rozhodovať pri výbere a použití metód, techník a prostriedkov zameraných na analýzu rôznych typov dátových množín pre získavanie rôznych typov cieľových znalostí.</w:t>
        <w:br/>
        <w:t xml:space="preserve">2.	Študent získa základné poznatky z oblasti spracovania veľkých dát, metód, prístupov a technológií, ktoré sa v tejto oblasti využívajú. Študent nadobudne znalosti o konceptoch gridového a cloudového počítania, o distribuovaných, NoSQL a in-memory databázových systémoch, metódach paralelného a distribuovaného počítania. Študent získa základné zručnosti pre návrh a implementáciu aplikácií pre spracovanie veľkých dát. </w:t>
        <w:br/>
        <w:t>3.	Študent si osvojí metódy a postupy riešenia relatívne rozsiahlych projektov v oblasti informačných systémov v praxi. Preukáže schopnosť samostatne a tvorivo riešiť zložité úlohy aj výskumného charakteru, v súlade so súčasnými metódami a postupmi využívanými v príslušnej oblasti. Samostatne, tvorivo a kriticky pristupovať k analýze možných riešení a tvorbe modelov. Výsledok musí obsahovať praktický výstup, ktorý bude primerane zdokumentovaný a prezentovaný počas obhajoby diplomovej práce.</w:t>
        <w:br/>
        <w:t>4.	Študent zvládne pokročilé metódy a techniky strojového učenia ako aj pokročilé technológie vývoja systémov informačných technológií so zameraním na vyhľadávanie, vytváranie a dolovanie znalostí. Naučí sa rozvíjať a navrhovať vlastné riešenia učiacich sa problémov klasifikácie ako aj predikcie za účelom využitia v získavaní znalostí z dát z rozličných zdrojov s dôrazom na porozumenie používaných metód. Naučí sa tvorivo aplikovať získané poznatky o širokej škále metód strojového učenia a efektívne sa rozhodovať pri výbere a použití metód, techník a prostriedkov strojového učenia. Študent nadobudne základné znalosti určovania kvality softvérových produktov s dôrazom na optimálnosť pre používateľa.</w:t>
        <w:br/>
        <w:t>5.	Študent získa teoretické vedomosti o procesoch a technológiách súvisiacich s podporou manažmentu znalostí v organizáciách. Dôraz je pritom kladený na prostriedky informačných technológií pre podporu manažmentu znalostí, ale predmet poskytuje aj základné poznatky z manažérskeho pohľadu. Študenti zvládnu aj základné princípy a metódy pre vyhľadávanie informácií ako aj vybrané techniky dolovania znalostí z textov.</w:t>
        <w:br/>
        <w:t>6.	Študent získa  znalosti v oblasti web technológií v modelovaní sémantického a sociálneho webu. Naučí sa implementovať moderné informačné a sieťové technológie a rozvíjať a navrhovať vlastné riešenia problémov, tvorivo aplikovať získané poznatky, efektívne sa rozhodovať pri výbere a použití metód a prostriedkov sociálneho webu a sémantických technológií. Absolvent bude ovládať a využívať objektovo orientované programovacie jazyky, databázové systémy, počítačové siete, vizualizačné produkty a produkty pre inteligentné interakcie. Študent získa taktiež poznatky z oblasti projektovania a programovania sémanticky obohatených systémov pre hospodárske subjekty, ich nástrojov a prístupov. Študent nadobudne najnovšie poznatky za účelom dolovania znalostí, názorov, postojov a emócii v sociálnom webe s orientáciou na hlboké porozumenie sémantiky dát ekonomického a iného charakteru.</w:t>
        <w:br/>
        <w:t xml:space="preserve">7.	Študent získa informácie o vybraných nových trendoch v oblastiach výskumu hospodárskej informatiky, o metodických základoch výskumnej práce a analýze informačných zdrojov. 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Profil absolventa zahŕňa vedomosti, zručnosti a kompetencie (pokryté príslušnými predmetmi):</w:t>
        <w:br/>
        <w:t xml:space="preserve">- Problémy dokáže včas rozpoznať a správne pomenovať, analyzuje ich z rôznych pohľadov. Vie použiť získané vedomosti a má schopnosti tvorivo riešiť problémy v nových neznámych prostrediach. Vie syntetizovať nové riešenie a na výsledok sa pozerá s dôrazom na originálnosť, komplexnosť, pridanú hodnotu, etickú a spoločenskú zodpovednosť. </w:t>
        <w:br/>
        <w:t>- Má rozvinuté zručnosti samostatne sa vzdelávať; preukazuje vedomosti a ich pochopenie potrebné pri uplatňovaní koncepcií súvisiacich s výskumom, aj pri nových situáciách alebo neznámych prostrediach.</w:t>
        <w:br/>
        <w:t>- Preukazuje vedomosti a ich pochopenie idúce nad rámec prvého stupňa vysokoškolského vzdelania v oblasti získavania a zaznamenávania používateľských požiadaviek pri vývoji softvéru; pozná metodiky modelovania informačných tokov, rozhraní alebo používateľov. Analyzuje požiadavky na informačný systém/softvérový systém, vytvára analytický model pomocou jazyka UML.</w:t>
        <w:br/>
        <w:t xml:space="preserve">- Vie jasne a jednoznačne komunikovať informácie o postupe a výsledkoch riešenia úloh, závery a zdôvodnenia odborníkom aj laickým adresátom, či verejnosti. Na pokročilej úrovni ovláda tvorbu prezentácie podľa požiadaviek a situácie, schopnosť prispôsobiť sa publiku a odpovedať na otázky. </w:t>
        <w:br/>
        <w:t>- Analytické a kritické myslenie preukazuje nad rámec prvého stupňa vysokoškolského štúdia, využíva vnútornú motiváciu, kreatívny a pružný prístup k riešeniu pridelených úloh. Ovplyvňuje rozhodovanie v projektoch týkajúcich sa najmä analytických úloh, cieľov a riešení v širších kontextoch presahujúcich odbor štúdia.</w:t>
        <w:br/>
        <w:t>- Realizuje aktívnym spôsobom získavanie a spracovávanie informácií v oblasti primárnych a sekundárnych informačných zdrojov, vrátane zvládnutia a využitia moderných informačných technológií. Uplatňuje etickú a spoločenskú zodpovednosť pri neúplných informáciách alebo informáciách presahujúcich odbor.</w:t>
        <w:br/>
        <w:t xml:space="preserve">- Preukazuje rozširujúce vedomosti a porozumenie postupov práce s pokročilými štatistickými nástrojmi alebo pomocou vhodných skriptovacích prostredí. </w:t>
        <w:br/>
        <w:t xml:space="preserve">- Má schopnosť integrovať vedomosti, metódy a techniky potrebné na výkon analytických činností s dátami rôznych typov, z rôznorodých zdrojov. Má schopnosť zvládať zložitosť a formulovať rozhodnutia pri pokročilej dátovej, matematickej a štatistickej analýze s cieľom extrahovať z rôznorodých dát pridanú hodnotu. </w:t>
        <w:br/>
        <w:t>- Má schopnosti analyzovať, upravovať a navrhovať algoritmy, programy či skripty potrebné pre analýzu a spracovanie dát, vizualizáciu výsledkov. Zároveň je schopný používať a nasadzovať v širších kontextoch presahujúcich odbor štúdia nástroje, platformy a algoritmy na prácu s rozsiahlymi dátami - tzv. Big data.</w:t>
        <w:br/>
        <w:t>- Vie použiť získané schopnosti, vie si efektívne zorganizovať prácu a dosahuje požadovaný výsledok v dohodnutom čase individuálne alebo ako člen projektového tímu. Je pripravený zvládnuť stresové situácie alebo prekážky. Aktívne pristupuje k plneniu stanovených úloh, syntetizuje nové riešenie; prichádza s návrhmi na zmeny alebo zlepšenia, ktoré vie jasne a jednoznačne komunikovať.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Dátový expert 7</w:t>
        <w:br/>
        <w:t xml:space="preserve">          Vývojár multimediálnych aplikácií 7</w:t>
        <w:br/>
        <w:t xml:space="preserve">          Riadiaci pracovník (manažér) riešení informačných techn... 7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https://uplatnenie.sk/?degree=V%C5%A0&amp;vs=709000000&amp;faculty=709040000&amp;field=6292T00&amp;year=2018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40
Priemerná mzda: 1630 eur
Polovica absolventov zarábala viac ako: 1686 eur
TOP 3 odvetvia v ktorých absolventi pracovali:
- Informácie a komunikácia (66 %)
- Priemyselná výroba (10 %)
- Stavebníctvo (7 %)
TOP 3 zamestnania v ktorých absolventi pracovali:
- Správcovia systémov (14 %)
- Odborní pracovníci v oblasti účtovníctva (14 %)
- Elektroinžinieri a špecialisti energetici (10 %)
Zamestnaní: 78 %
Pracujúci na dohodu: 3 %
SZČO: 8 %
Na materskej dovolenke: 3 %
Nezamestnaní: 0 %
Pokračujúci v štúdiu: 0 %
Ostatní (pracujúci v zahraničí, dobrovoľne nezamestnaní): 10 %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https://uplatnenie.sk/?degree=V%C5%A0&amp;vs=709000000&amp;faculty=709040000&amp;field=6292T00&amp;year=2019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40
Priemerná mzda: 1272 eur
Polovica absolventov zarábala viac ako: 1263 eur
TOP 3 odvetvia v ktorých absolventi pracovali:
- Informácie a komunikácia (63 %)
- Odborné, vedecké a technické činnosti (10 %)
- Priemyselná výroba (7 %)
TOP 3 zamestnania v ktorých absolventi pracovali:
- Vývojári softvéru (20 %)
- Špecialisti v oblasti účtovníctva a finančnej kontroly (17 %)
- Aplikační programátori (13 %)
Zamestnaní: 78 %
Pracujúci na dohodu: 8 %
SZČO: 8 %
Na materskej dovolenke: 0 %
Nezamestnaní: 8 %
Pokračujúci v štúdiu: 0 %
Ostatní (pracujúci v zahraničí, dobrovoľne nezamestnaní): 0 %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Uvádzame niekoľko príkladov úspešných absolventov tohto študijného programu:</w:t>
        <w:br/>
        <w:t>•	Pavol Miroššay, CEO &amp; Chairman of the Board at Slovensko IT, a.s</w:t>
        <w:br/>
        <w:t>•	Karol Grulling, Program Director at Ness Digital Engineering</w:t>
        <w:br/>
        <w:t>•	Juraj Cichanský, Business Intelligence Developer at IT-Impulse s.r.o.</w:t>
        <w:br/>
        <w:t>•	Vladimír Gašpar, Software Engineer - Senior Analyst at Accenture</w:t>
        <w:br/>
        <w:t>•	Martin Miškuf, Developer at Gazprom Marketing &amp; Trading. London</w:t>
        <w:br/>
        <w:t>•	Karin Baffy, Salesforce Marketing Cloud Consultant, IBM</w:t>
        <w:br/>
        <w:t>•	Peter Koncz, Senior Data Analyst at NESS Košice</w:t>
        <w:br/>
        <w:t>•	Michaela Kozelová, Head of Team at Deutsche Telekom IT Solutions Slovakia</w:t>
        <w:br/>
        <w:t>•	Cecília Havrilová, Senior Salesforce.com Consultant at IBM</w:t>
        <w:br/>
        <w:t>•	Peter Bereščák, Associate Director - Sr. MicroStrategy Developer at UBS Switzerland</w:t>
        <w:br/>
        <w:t>•	Martin Repka, Engineering Manager at Teradata</w:t>
        <w:br/>
        <w:t>•	Martin Petrík, SAP Client Capability Lead at DXC Technology</w:t>
        <w:br/>
        <w:t>•	Dominik Mesároš, Python process automation Developer at Visma Labs</w:t>
        <w:br/>
        <w:t>•	Roman Veselý, FrontEnd Technical Leader at Eleveo</w:t>
        <w:br/>
        <w:t>•	Adela Tušanová, IT Project Manager &amp; Process Consultant at Deutsche Telekom IT Solutions Slovakia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Vyplnené formuláre „Vyjadrenie autority z praxe k ŠP“ od dvoch zástupcov zamestnávateľov tvoria prílohu zápisnice zo zasadnutia Rady ŠP HI (2. stupeň) zo dňa 29.6.2022.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https://maisportal.tuke.sk/portal/studijneProgramy.mais?spsId=48670149&amp;arksId=47507289&amp;fakultaId=6878&amp;lang=sk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https://maisportal.tuke.sk/portal/studijneProgramy.mais?spsId=48670149&amp;arksId=47507289&amp;fakultaId=6878&amp;lang=sk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https://www.fei.tuke.sk/sk/studium/bakalarske-studium/harmonogram-studia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Ján Paralič,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jan.paralic@tuke.sk,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+421 55 6024128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Ján Paralič, PhD., jan.paralic@tuke.sk, +421 55 6024128</w:t>
        <w:br/>
        <w:t xml:space="preserve">          doc. Ing. František Babič, PhD., frantisek.babic@tuke.sk, +421 55 6022226,+421 55 6024220</w:t>
        <w:br/>
        <w:t xml:space="preserve">          doc. Ing. Peter Butka, PhD., peter.butka@tuke.sk, +421 55 6024280</w:t>
        <w:br/>
        <w:t xml:space="preserve">          doc. Ing. Peter Bednár, PhD., peter.bednar@tuke.sk, +421 55 6024219</w:t>
        <w:br/>
        <w:t xml:space="preserve">          prof. Ing. Kristína Machová, PhD., kristina.machova@tuke.sk, +421 55 6024142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Ján Paralič, PhD.,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https://res.tuke.sk/api/vupch/1665/export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František Babič,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https://res.tuke.sk/api/vupch/8080/export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Peter Butka,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https://res.tuke.sk/api/vupch/6083/export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Peter Bednár,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https://res.tuke.sk/api/vupch/2950/export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Kristína Machová,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https://res.tuke.sk/api/vupch/1367/export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https://maisportal.tuke.sk/portal/studijneProgramy.mais?spsId=48670149&amp;arksId=47507289&amp;fakultaId=6878&amp;lang=sk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Lívia Muranková, livia.murankova@student.tuke.sk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František Babič,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frantisek.babic@tuke.sk,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6022226,+421 55 6024220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https://www.fei.tuke.sk/sk/fakulta/dekanat/studijne-oddelenie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Odborné laboratóriá: Laboratórium dátovej analytiky (24miest/12PC), Laboratórium spracovania veľkých dát (18/9). Tieto laboratória poskytujú hardvérové (PC) aj softvérové vybavenie potrebné nielen na výučbu príslušných profilových predmetov, ale aj na riešenie diplomových prác.
Z uvedených laboratórií je prístupná podporná technická a softvérová infraštruktúra vytvorená a prevádzkovaná v rámci Centra hospodárskej informatiky na Katedre kybernetiky a umelej inteligencie FEI, ktorá pozostáva z: 
1. Privátneho cloudového klastra, ktorý tvorí 10 serverov s celkovou kapacitou 156 CPU a 724 GB RAM s kapacitou úložiska viac ako 6 TB a zdieľaný́ diskový priestor s kapacitou viac ako 100 TB; vrátane serverov vybavených kartami pre GPU výpočty (TESLA K-40c, Quatro RTX4000, Quatro P4000).
2. Integrovaného DataLab cloudového prostredia pre výskum a výučbu, ktoré poskytuje nástroje pre dátovú analytiku a technológie spracovania veľkých dát, vrátane databázového úložiska a rámcov pre distribuované výpočty a hlboké učenie: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https://datalab.kkui.fei.tuke.sk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Univerzitný vedecký park TECHNICOM (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https://uvptechnicom.sk/sk):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Startup centrum, Inkubátor, akcelerácia podnikania
Univerzitná knižnica (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http://www.lib.tuke.sk/):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konferenčné miestnosti pre usporiadanie prednášok alebo podujatí partnerov z praxe ako konferencie, hackathony, workshopy, atď.
Ďalšie informácie sú dostupné na: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https://hi.kkui.fei.tuke.sk/laboratoria-inzinierske-studium.html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študijnej literatúre a informačným databázam je zabezpečený prostredníctvom Univerzitnej knižnice TUKE: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https://www.lib.tuke.sk/#/digitalLibrary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Prístup k informačným technológiám je zabezpečený prostredníctvo Ústavu výpočtovej techniky TUKE: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Okrem toho v rámci Centra hospodárskej informatiky na Katedre kybernetiky a umelej inteligencie FEI prevádzkujeme:
1. Privátny cloudový klaster pozostávajúci z 10 serverov s celkovou kapacitou 156 CPU a 724 GB RAM s kapacitou úložiska viac ako 6 TB a zdieľaný́ diskový priestor s kapacitou viac ako 100 TB; vrátane serverov vybavených kartami pre GPU výpočty (TESLA K-40c, Quatro RTX4000, Quatro P4000).
2. Integrované DataLab cloudové prostredie pre výskum a výučbu, ktoré poskytuje nástroje pre dátovú analytiku a technológie spracovania veľkých dát, vrátane databázového úložiska a rámcov pre distribuované výpočty a hlboké učenie: 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https://datalab.kkui.fei.tuke.sk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Dištančné vzdelávanie je plnohodnotnou náhradou prezenčnej formy vzdelávania. Rozsah dištančného vzdelávania je determinovaný príslušnou situáciou a prijatými opatreniami, ktoré obmedzujú prezenčnú formu štúdia.</w:t>
        <w:br/>
        <w:t>V rámci dištančného vzdelávania sú využívane vhodné metódy aktívneho učenia s cieľom poskytovať študentom interaktívnu, efektívnu a zaujímavú výučbu.</w:t>
        <w:br/>
        <w:t>Dištančné vzdelávanie spravidla prebieha prostredníctvom softvérovej platformy podporujúcej vzdelávacie aktivity a kolaboratívne štúdium Microsoft Teams. V rámci tejto platformy prebiehajú prednášky a ostatné vzdelávacie aktivity rešpektujúc požiadavky a možnosti študentov.</w:t>
        <w:br/>
        <w:t>Prístup do platformy Microsoft Teams je bezplatný pre zamestnancov aj študentov TUKE.</w:t>
        <w:br/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Študijné materiály sú k dispozícii prostredníctvom softvérovej platformy podporujúcej vzdelávacie aktivity a kolaboratívne štúdium Microsoft Teams alebo e-learningového portálu Moodle, ktorý je používaný aj na overovanie znalostí študentov a úrovne dosahovania plánovaných výstupov vzdelávania. Prednášky, cvičenia alebo konzultácie so študentmi prebiehajú aj prostredníctvom komunikačnej platformy CISCO Webex.  Prístup do týchto nástrojov je bezplatný pre zamestnancov aj študentov TUKE.
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https://uvt.tuke.sk/wps/portal/uv/software/microsoft-office365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https://uvt.tuke.sk/wps/portal/uv/sluzby/webex/prihlasenie-sa-do-webex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https://kkui.fei.tuke.sk/chi/moodle/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Postup prechodu z prezenčného na dištančné vzdelávanie determinuje situácia a podmienky, v rámci ktorých je potrebné tento postup realizovať. Do úvahy prichádza prechod na kompletné dištančné vzdelávanie, t.j. prednášky, výpočtové alebo laboratórne cvičenia, a semináre v online forme bez rozdielu v počtoch absolvujúcich študentov. Prechod na hybridnú formu znamená online prednášky z dôvodu vyšších počtov študentov a cvičenia alebo semináre v prezenčnej forme pri rešpektovaní príslušných opatrení a obmedzení. Rozhodovanie o vhodnom postupe prebieha na úrovni fakultného kolégia dekana a následne vedenia katedry.</w:t>
        <w:br/>
        <w:t/>
        <w:br/>
        <w:t>V prípadoch, kedy situácia neumožňuje realizovať obhajoby záverečných prác štandardným spôsobom, na FEI TUKE sa uplatňuje Pokyn dekana FEI pre zabezpečenie dostupnosti podkladov komisii pre obhajoby bakalárskej, inžinierskej a doktorandskej práce prostredníctvom audiovizuálneho prenosu (PD/FEITUKE/05/20).</w:t>
        <w:br/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Pri zabezpečovaní vzdelávacích činností v inžinierskom študijnom programe hospodárska informatika sa podieľajú externí partneri niekoľkými spôsobom: </w:t>
        <w:br/>
        <w:t>1.	Zabezpečovaním skupiny výberových predmetov, ktoré vhodne dopĺňajú profil absolventa. Ide o 6 predmetov v rámci SAP akadémie (výučba zabezpečovaná členmi združenia IT Valley Košice), ktoré sú rozdelené do dvoch trojíc nadväzujúcich predmetov. Okrem toho ide o predmet Zručnosti pre úspech, kde sú zapojené viaceré spoločnosti asociované v rámci Business Service Center Fóra pod hlavičkou Americkej obchodnej komory na Slovensku.</w:t>
        <w:br/>
        <w:t>- Deutsche Telekom IT Solutions Slovakia: prenositeľné kompetencie – verbálna a neverbálna komunikácia (seminár), prenositeľné kompetencie – manažment času (seminár).</w:t>
        <w:br/>
        <w:t>- IBM Košice: prenositeľné kompetencie – spätná väzba (seminár), prenositeľné kompetencie – práca v tíme (seminár).</w:t>
        <w:br/>
        <w:t>- NIDEC Global Appliance Košice: prenositeľné kompetencie – manažment konfliktov (seminár).</w:t>
        <w:br/>
        <w:t>- AT&amp;T Košice: prenositeľné kompetencie – prezentačné zručnosti (seminár).</w:t>
        <w:br/>
        <w:t>2.	Formou pozvaných prednášok z praxe spravidla v rozsahu jeden, maximálne dve prednášky za semester. Viac pozvaných prednášok z praxe je v rámci predmetu Aktuálne trendy v hospodárskej informatike.</w:t>
        <w:br/>
        <w:t>3.	Recenzia a podpora výučbových materiálov pre predmet Objavovanie znalosti v databázach (IBM Košice).</w:t>
        <w:br/>
        <w:t>4.	Definícia a spolupráca na riešení diplomových prác.</w:t>
        <w:br/>
        <w:t>5.	Účasť v komisii pre štátne záverečné skúšky.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https://www.fei.tuke.sk/sk/studium/pre-uchadzacov/podmienky-prijatia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https://www.fei.tuke.sk/sk/studium/pre-uchadzacov/podmienky-prijatia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https://www.fei.tuke.sk/sk/studium/inzinierske-studium/v%C3%BDsledky-prij%C3%ADmacieho-konania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40000&amp;field=6292T00&amp;year=2018" TargetMode="External" Type="http://schemas.openxmlformats.org/officeDocument/2006/relationships/hyperlink"/><Relationship Id="rId14" Target="https://uplatnenie.sk/?degree=V%C5%A0&amp;vs=709000000&amp;faculty=709040000&amp;field=6292T00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48670149&amp;arksId=47507289&amp;fakultaId=6878&amp;lang=sk" TargetMode="External" Type="http://schemas.openxmlformats.org/officeDocument/2006/relationships/hyperlink"/><Relationship Id="rId19" Target="https://maisportal.tuke.sk/portal/studijneProgramy.mais?spsId=48670149&amp;arksId=47507289&amp;fakultaId=6878&amp;lang=sk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www.fei.tuke.sk/sk/studium/bakalarske-studium/harmonogram-studia" TargetMode="External" Type="http://schemas.openxmlformats.org/officeDocument/2006/relationships/hyperlink"/><Relationship Id="rId21" Target="https://res.tuke.sk/api/vupch/1665/export" TargetMode="External" Type="http://schemas.openxmlformats.org/officeDocument/2006/relationships/hyperlink"/><Relationship Id="rId22" Target="https://res.tuke.sk/api/vupch/8080/export" TargetMode="External" Type="http://schemas.openxmlformats.org/officeDocument/2006/relationships/hyperlink"/><Relationship Id="rId23" Target="https://res.tuke.sk/api/vupch/6083/export" TargetMode="External" Type="http://schemas.openxmlformats.org/officeDocument/2006/relationships/hyperlink"/><Relationship Id="rId24" Target="https://res.tuke.sk/api/vupch/2950/export" TargetMode="External" Type="http://schemas.openxmlformats.org/officeDocument/2006/relationships/hyperlink"/><Relationship Id="rId25" Target="https://res.tuke.sk/api/vupch/1367/export" TargetMode="External" Type="http://schemas.openxmlformats.org/officeDocument/2006/relationships/hyperlink"/><Relationship Id="rId26" Target="https://maisportal.tuke.sk/portal/studijneProgramy.mais?spsId=48670149&amp;arksId=47507289&amp;fakultaId=6878&amp;lang=sk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fei.tuke.sk/sk/fakulta/dekanat/studijne-oddelenie" TargetMode="External" Type="http://schemas.openxmlformats.org/officeDocument/2006/relationships/hyperlink"/><Relationship Id="rId29" Target="https://datalab.kkui.fei.tuke.sk" TargetMode="External" Type="http://schemas.openxmlformats.org/officeDocument/2006/relationships/hyperlink"/><Relationship Id="rId3" Target="styles.xml" Type="http://schemas.openxmlformats.org/officeDocument/2006/relationships/styles"/><Relationship Id="rId30" Target="https://uvptechnicom.sk/sk):" TargetMode="External" Type="http://schemas.openxmlformats.org/officeDocument/2006/relationships/hyperlink"/><Relationship Id="rId31" Target="http://www.lib.tuke.sk/):" TargetMode="External" Type="http://schemas.openxmlformats.org/officeDocument/2006/relationships/hyperlink"/><Relationship Id="rId32" Target="https://hi.kkui.fei.tuke.sk/laboratoria-inzinierske-studium.html" TargetMode="External" Type="http://schemas.openxmlformats.org/officeDocument/2006/relationships/hyperlink"/><Relationship Id="rId33" Target="https://www.lib.tuke.sk/#/digitalLibrary" TargetMode="External" Type="http://schemas.openxmlformats.org/officeDocument/2006/relationships/hyperlink"/><Relationship Id="rId34" Target="https://uvt.tuke.sk/wps/portal/uv/software" TargetMode="External" Type="http://schemas.openxmlformats.org/officeDocument/2006/relationships/hyperlink"/><Relationship Id="rId35" Target="https://datalab.kkui.fei.tuke.sk" TargetMode="External" Type="http://schemas.openxmlformats.org/officeDocument/2006/relationships/hyperlink"/><Relationship Id="rId36" Target="https://uvt.tuke.sk/wps/portal/uv/software/microsoft-office365" TargetMode="External" Type="http://schemas.openxmlformats.org/officeDocument/2006/relationships/hyperlink"/><Relationship Id="rId37" Target="https://uvt.tuke.sk/wps/portal/uv/sluzby/webex/prihlasenie-sa-do-webex" TargetMode="External" Type="http://schemas.openxmlformats.org/officeDocument/2006/relationships/hyperlink"/><Relationship Id="rId38" Target="http://moodle.tuke.sk/" TargetMode="External" Type="http://schemas.openxmlformats.org/officeDocument/2006/relationships/hyperlink"/><Relationship Id="rId39" Target="https://kkui.fei.tuke.sk/chi/moodle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studium.tuke.sk/wps/portal/studium/univerzita/info-boxy-texty/studentsky-zivot" TargetMode="External" Type="http://schemas.openxmlformats.org/officeDocument/2006/relationships/hyperlink"/><Relationship Id="rId41" Target="https://ktv.tuke.sk/wps/portal" TargetMode="External" Type="http://schemas.openxmlformats.org/officeDocument/2006/relationships/hyperlink"/><Relationship Id="rId42" Target="https://www.tuke.sk/wps/portal/tuke/university/usek-pre-zahranicne-vztahy/referat-mobilitnych-programov" TargetMode="External" Type="http://schemas.openxmlformats.org/officeDocument/2006/relationships/hyperlink"/><Relationship Id="rId43" Target="https://erasmus.tuke.sk" TargetMode="External" Type="http://schemas.openxmlformats.org/officeDocument/2006/relationships/hyperlink"/><Relationship Id="rId44" Target="https://www.fei.tuke.sk/sk/studium/pre-uchadzacov/podmienky-prijatia" TargetMode="External" Type="http://schemas.openxmlformats.org/officeDocument/2006/relationships/hyperlink"/><Relationship Id="rId45" Target="https://www.fei.tuke.sk/sk/studium/pre-uchadzacov/podmienky-prijatia" TargetMode="External" Type="http://schemas.openxmlformats.org/officeDocument/2006/relationships/hyperlink"/><Relationship Id="rId46" Target="https://www.fei.tuke.sk/sk/studium/inzinierske-studium/v%C3%BDsledky-prij%C3%ADmacieho-konania" TargetMode="External" Type="http://schemas.openxmlformats.org/officeDocument/2006/relationships/hyperlink"/><Relationship Id="rId47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8" Target="https://www.tuke.sk/wps/portal/tuke/studies/studentske-ankety" TargetMode="External" Type="http://schemas.openxmlformats.org/officeDocument/2006/relationships/hyperlink"/><Relationship Id="rId49" Target="https://tuke.sk/wps/portal/tuke/university/vnutorny-system-kvality/studijne-programy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www.tuke.sk/wps/portal/tuke/studies/legislativa-studia" TargetMode="External" Type="http://schemas.openxmlformats.org/officeDocument/2006/relationships/hyperlink"/><Relationship Id="rId51" Target="https://tuke.sk/wps/portal/tuke/university/legislativa-univerzity/interne-predpisy-a-smernice" TargetMode="External" Type="http://schemas.openxmlformats.org/officeDocument/2006/relationships/hyperlink"/><Relationship Id="rId52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