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Mining, Ecology, Process Control and Geotechnologies</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geologické inžinierstvo,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21148</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2.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767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Extraction and Processing of Earth Resources</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Ing.</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2</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
        <w:t>The study program Geological engineering is part of the study field Acquisition and processing of earth resources. The mentioned field of study includes knowledge related to the acquisition, processing, use and protection of earth's resources. Earth's resources are sources of raw materials and energy in the earth's crust, on its surface, at the bottom of seas and oceans, in underground and surface waters, and in the earth's atmospheric envelope. Identification of these resources, technologies for their acquisition and processing, technical, information, geological, economic, business, managerial, management, production and logistics processes and knowledge about them are part of the field of study.</w:t>
        <w:br/>
        <w:t>The mentioned study program expands knowledge in the field of geological exploration of the earth's crust, where it significantly reflects new methodological procedures that can be used in the field of geological exploration. Graduates master the geological evaluation of prospective accumulations of ore, non-ore and energy raw material resources. They will acquire broader regional-geological relations to the sources of mineral raw materials, geological regularities of distribution, non-traditional raw material sources, including geothermal energy. Graduates master the methods of research and exploration of mineral deposits, the principles of engineering geological activities, management design and evaluation of geological works. Graduates will gain experience with the analysis of geological data for their use in mining geology and geological exploration. They will acquire a complex approach for the optimal solution of geological-research and mining-geological works. They can propose and defend projects for solutions in the field of search and valuation of raw material resources. Students acquire the ability to spatially understand the given problem with high-quality transfer to graphic outputs, which in geology are mainly represented by maps and sections. In field conditions, graduates are able to mathematically and graphically analyze the issue with the use of computer technology. During engineering geological work, graduates will master the assessment of the rock environment, its qualitative indicators and the processes taking place in this environment. Graduates are employed in the field of basic and applied geological research and exploration, in exploration, design and mining organizations, in the field of marketing of mineral raw materials and in state administration.</w:t>
        <w:br/>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Graduates of the study program will acquire synergistically linked knowledge from the basic natural science and engineering disciplines, an applied set of geological and environmental knowledge and the methodology of exact evaluation and visualization of geological data and sources. Graduates will get a perfect overview of the construction of geological regions of Europe and the world, with an emphasis on the Western Carpathians, their neotectonic risks, methods of their monitoring and methods of remediation of potentially endangered areas. Perfect knowledge of the genetic regularities of the development and distribution of all types of industrially important deposits of mineral raw materials, sedimentological aspects of creation and technological methods of obtaining and exploring hydrocarbon/geothermal accumulations, design methodology, research and modeling of the protection of the risk ecosystem of the uppermost part of the earth's crust provide the graduate of the study program with a wide range of mobility to domestic and foreign labor market.</w:t>
        <w:br/>
        <w:t/>
        <w:br/>
        <w:t>The main goal is to prepare graduates of a broader geological-technical education, who are able to solve wide scientific, scientific-technical and technical projects and tasks, implemented in surface and subsurface conditions of the earth's crust for the purpose of research, the earth's crust and search, acquisition of mineral resources.</w:t>
        <w:br/>
        <w:t/>
        <w:br/>
        <w:t>Graduates of the study program will acquire unique and globally applicable knowledge in the field of basic and applied geology. Knowledge and skills are built on the foundations of the first level of higher education, where the ability to clearly and creatively solve problems related to geological structure, geological structures, phenomena and phenomena created by natural and anthropogenic factors is demonstrated. The graduate takes a synthetic approach to solving tasks and problems, where he can integrate several scientific and technical procedures. Decisions must have a scientific, professional and legislative framework, where there will be no ethical, social and especially professional conflicts. The ability to clearly communicate results, defend conclusions and knowledge is a significant benefit of the graduate, and a significant benefit for the professional and lay public. Graduates have developed learning skills that allow them to continue further self-study or they can continue and study at the third level of study.</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The main outputs of the education are usually concluded with a semester project, practical block lessons that connect theoretical and practical results obtained by field mining-geological and geological survey. A very strong emphasis is placed on the graduate's ability to use a wide range of geological survey methods to achieve the desired result.</w:t>
        <w:br/>
        <w:t>Graduates of the study acquire the profession of mining geologist and exploration geologist and can carry out geological work focused on mine-geological and surface geological research and exploration. Geological survey includes deposit, hydrogeological, engineering geological and environmental geological survey. The listed professions belong to the category of regulated professions, and their practice is in accordance with Act No. 569/2007 Coll. (geological law), which sets the conditions and authorizations for carrying out geological works.</w:t>
        <w:br/>
        <w:t/>
        <w:br/>
        <w:t>Graduates of the study become mining geologist, hydrogeologist, engineering geologist and geologist within their profession, they can perform geological work focused on geological research and exploration. Geological survey includes deposit, hydrogeological, engineering geological and environmental geological survey. The listed professions belong to the category of regulated professions, and their practice is in accordance with Act No. 569/2007 Coll. (geological law), which sets the conditions and authorizations for carrying out geological works.</w:t>
        <w:br/>
        <w:t>Pursuant to the legal legislation of the Slovak Republic for the performance of a regulated profession, which is a professional activity or a group of professional activities, the performance of which requires the fulfillment of qualification requirements established by special regulations in addition to the general qualification requirement, which is the level of education. Outputs are also related to this process, which are precisely defined by the legislative standards of the Slovak Republic, where a graduate of Geological Engineering and holder of a professional qualification for the performance of geological works in the field of: deposit geology, geophysics, hydrogeology, engineering geology, environmental protection, geochemistry and remediation.</w:t>
        <w:br/>
        <w:t>In order to achieve professional outcomes, also in accordance with the legislation of the Slovak Republic, graduates finish practical subjects with graphic, material (sampling), written and oral materials, conclusions, exams.</w:t>
        <w:br/>
        <w:t>Due to the broad spectrum of graduates, the graduate is required to:</w:t>
        <w:br/>
        <w:t>- mastery of methodological procedures within professional subjects and correct use of individual methods</w:t>
        <w:br/>
        <w:t>- management, planning, organization and coordination of activities and procedures in mining and geological exploration</w:t>
        <w:br/>
        <w:t>- communication and organizing teams</w:t>
        <w:br/>
        <w:t>- the ability to defend the proposed procedures is developed</w:t>
        <w:br/>
        <w:t>- responsibility for fulfilling criteria and legislative obligations</w:t>
        <w:br/>
        <w:t>- knowledge of valid regulations, legislation in the field of geological and mining activities</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Banský geológ 7</w:t>
        <w:br/>
        <w:t xml:space="preserve">          Hydrogeológ 7</w:t>
        <w:br/>
        <w:t xml:space="preserve">          Inžiniersky geológ 7</w:t>
        <w:br/>
        <w:t xml:space="preserve">          Geológ (okrem banského geológa) 7</w:t>
        <w:br/>
        <w:t xml:space="preserve">          Špecialista technológ ťažby uhľovodíkov 7</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https://uplatnenie.sk/?degree=V%C5%A0&amp;vs=709000000&amp;faculty=709010000&amp;field=2121T02&amp;year=2018</w:t>
          <w:br/>
        </w:r>
      </w:hyperlink>
      <w:r>
        <w:rPr>
          <w:rFonts w:ascii="" w:hAnsi="" w:cs="" w:eastAsia=""/>
          <w:sz w:val="20"/>
          <w:b w:val="off"/>
          <w:i w:val="on"/>
          <w:u w:val="none"/>
          <w:color w:val=""/>
        </w:rPr>
        <w:t xml:space="preserve">
Due to the low number of graduates, no application data is available.
Year: 2019
Source: </w:t>
      </w:r>
      <w:hyperlink r:id="rId14">
        <w:r>
          <w:rPr>
            <w:rFonts w:ascii="" w:hAnsi="" w:cs="" w:eastAsia=""/>
            <w:sz w:val="20"/>
            <w:b w:val="off"/>
            <w:i w:val="on"/>
            <w:u w:val="single"/>
            <w:color w:val="0000FF"/>
          </w:rPr>
          <w:t>https://uplatnenie.sk/?degree=V%C5%A0&amp;vs=709000000&amp;faculty=709010000&amp;field=2121T02&amp;year=2019</w:t>
          <w:br/>
        </w:r>
      </w:hyperlink>
      <w:r>
        <w:rPr>
          <w:rFonts w:ascii="" w:hAnsi="" w:cs="" w:eastAsia=""/>
          <w:sz w:val="20"/>
          <w:b w:val="off"/>
          <w:i w:val="on"/>
          <w:u w:val="none"/>
          <w:color w:val=""/>
        </w:rPr>
        <w:t xml:space="preserve">
Due to the low number of graduates, no application data is available.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Ing. Juraj Kotúč, PhD., Dionýz Štúr State Geological Institute, Bratislava, Košice workplace</w:t>
        <w:br/>
        <w:t>Ing. Branislav Fričovský, PhD., State Geological Institute of Dionýz Štúr, Bratislava</w:t>
        <w:br/>
        <w:t>Ing. Martin Udič, PhD., Geoum, s.r.o., Bardejov</w:t>
        <w:br/>
        <w:t>Ing. Ivana Udičová, PhD., Geoum, s.r.o., Bardejov</w:t>
        <w:br/>
        <w:t>Ing. Igor Jurík, Eurovia s.r.o., Dolný Kubín</w:t>
        <w:br/>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study program at FBERG TUKE is fully implemented with the needs of real practice. Since the communication between education at FBERG TUKE and employers is continuous, it consists in solving joint projects with the involvement of students, in solving research tasks of a commercial nature, it uses professionals from companies in the process of completing studies by membership in state examination commissions at the relevant level of higher education, the faculty reflects the demands of employers graduates of the given study program and critically evaluates them with trends abroad.</w:t>
        <w:br/>
        <w:t/>
        <w:br/>
        <w:t>The State Geological Institute of Dionýz Štúr issues a favorable opinion on the compliance of the obtained qualifications of the graduates of the Faculty of Mining, Ecology, Management and Geotechnologies of the Technical University in Košice ((FBERG TUKE) with sector-specific requirements for the performance of the profession.</w:t>
        <w:br/>
        <w:t>The company Geoum, s.r.o. issues a favorable opinion on the compliance of the obtained qualifications of the graduates of the Faculty of Mining, Ecology, Management and Geotechnologies of the Technical University in Košice ((FBERG TUKE)) with the sector-specific requirements for the performance of the profession.</w:t>
        <w:br/>
        <w:t>The company Geoslovakia, s.r.o. issues a favorable opinion on the compliance of the obtained qualifications of the graduates of the Faculty of Mining, Ecology, Management and Geotechnologies of the Technical University in Košice ((FBERG TUKE) with the sector-specific requirements for the performance of the profession</w:t>
        <w:br/>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https://maisportal.tuke.sk/portal/studijneProgramy.mais?spsId=49649111&amp;arksId=47507289&amp;fakultaId=6874&amp;lang=sk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https://maisportal.tuke.sk/portal/studijneProgramy.mais?spsId=49649111&amp;arksId=47507289&amp;fakultaId=6874&amp;lang=sk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9">
        <w:r>
          <w:rPr>
            <w:rFonts w:ascii="" w:hAnsi="" w:cs="" w:eastAsia=""/>
            <w:sz w:val="20"/>
            <w:b w:val="off"/>
            <w:i w:val="off"/>
            <w:u w:val="single"/>
            <w:color w:val="0000FF"/>
          </w:rPr>
          <w:t>https://fberg.tuke.sk/wps/wcm/connect/fberg.tuke.sk3719/b9655f70-fc82-46e3-a774-6ad68b7f6bc9/harmonogram_studia.pdf?MOD=AJPERES&amp;CVID=nMh9w4t</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Juraj Janočko, CSc., </w:t>
      </w:r>
      <w:r w:rsidR="00505A88">
        <w:rPr>
          <w:rFonts w:cstheme="minorHAnsi"/>
          <w:i/>
          <w:iCs/>
          <w:sz w:val="20"/>
          <w:szCs w:val="20"/>
          <w:lang w:val="en-GB"/>
        </w:rPr>
        <w:t/>
      </w:r>
      <w:r w:rsidRPr="00BA4B69">
        <w:rPr>
          <w:rFonts w:cstheme="minorHAnsi"/>
          <w:i/>
          <w:iCs/>
          <w:sz w:val="20"/>
          <w:szCs w:val="20"/>
          <w:lang w:val="en-GB"/>
        </w:rPr>
        <w:t xml:space="preserve">juraj.janocko@tuke.sk, </w:t>
      </w:r>
      <w:r w:rsidR="00505A88">
        <w:rPr>
          <w:rFonts w:cstheme="minorHAnsi"/>
          <w:i/>
          <w:iCs/>
          <w:sz w:val="20"/>
          <w:szCs w:val="20"/>
          <w:lang w:val="en-GB"/>
        </w:rPr>
        <w:t/>
      </w:r>
      <w:r w:rsidRPr="00BA4B69">
        <w:rPr>
          <w:rFonts w:cstheme="minorHAnsi"/>
          <w:i/>
          <w:iCs/>
          <w:sz w:val="20"/>
          <w:szCs w:val="20"/>
          <w:lang w:val="en-GB"/>
        </w:rPr>
        <w:t>+421 55 6022205,+421 55 6023136</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Juraj Janočko, CSc., juraj.janocko@tuke.sk, +421 55 6022205,+421 55 6023136</w:t>
        <w:br/>
        <w:t xml:space="preserve">          prof. Ing. Stanislav Jacko, PhD., stanislav.jacko@tuke.sk, +421 55 6023135</w:t>
        <w:br/>
        <w:t xml:space="preserve">          doc. Mgr. Julián Kondela, PhD., julian.kondela@tuke.sk, +421 55 6023139</w:t>
        <w:br/>
        <w:t xml:space="preserve">          doc. Ing. Pavel Peterka, PhD., pavel.peterka@tuke.sk, +421 55 6022816</w:t>
        <w:br/>
        <w:t xml:space="preserve">          doc. Ing. Ladislav Tometz, PhD., ladislav.tometz@tuke.sk, +421 55 6023134</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Juraj Janočko, CSc., </w:t>
      </w:r>
      <w:hyperlink r:id="rId20">
        <w:r>
          <w:rPr>
            <w:rFonts w:ascii="" w:hAnsi="" w:cs="" w:eastAsia=""/>
            <w:sz w:val="20"/>
            <w:b w:val="off"/>
            <w:i w:val="on"/>
            <w:u w:val="single"/>
            <w:color w:val="0000FF"/>
          </w:rPr>
          <w:t>https://res.tuke.sk/api/vupch/4931/export</w:t>
          <w:br/>
        </w:r>
      </w:hyperlink>
      <w:r>
        <w:rPr>
          <w:rFonts w:ascii="" w:hAnsi="" w:cs="" w:eastAsia=""/>
          <w:sz w:val="20"/>
          <w:b w:val="off"/>
          <w:i w:val="on"/>
          <w:u w:val="none"/>
          <w:color w:val=""/>
        </w:rPr>
        <w:t xml:space="preserve">
prof. Ing. Stanislav Jacko, PhD., </w:t>
      </w:r>
      <w:hyperlink r:id="rId21">
        <w:r>
          <w:rPr>
            <w:rFonts w:ascii="" w:hAnsi="" w:cs="" w:eastAsia=""/>
            <w:sz w:val="20"/>
            <w:b w:val="off"/>
            <w:i w:val="on"/>
            <w:u w:val="single"/>
            <w:color w:val="0000FF"/>
          </w:rPr>
          <w:t>https://res.tuke.sk/api/vupch/5005/export</w:t>
          <w:br/>
        </w:r>
      </w:hyperlink>
      <w:r>
        <w:rPr>
          <w:rFonts w:ascii="" w:hAnsi="" w:cs="" w:eastAsia=""/>
          <w:sz w:val="20"/>
          <w:b w:val="off"/>
          <w:i w:val="on"/>
          <w:u w:val="none"/>
          <w:color w:val=""/>
        </w:rPr>
        <w:t xml:space="preserve">
doc. Mgr. Julián Kondela, PhD., </w:t>
      </w:r>
      <w:hyperlink r:id="rId22">
        <w:r>
          <w:rPr>
            <w:rFonts w:ascii="" w:hAnsi="" w:cs="" w:eastAsia=""/>
            <w:sz w:val="20"/>
            <w:b w:val="off"/>
            <w:i w:val="on"/>
            <w:u w:val="single"/>
            <w:color w:val="0000FF"/>
          </w:rPr>
          <w:t>https://res.tuke.sk/api/vupch/1730/export</w:t>
          <w:br/>
        </w:r>
      </w:hyperlink>
      <w:r>
        <w:rPr>
          <w:rFonts w:ascii="" w:hAnsi="" w:cs="" w:eastAsia=""/>
          <w:sz w:val="20"/>
          <w:b w:val="off"/>
          <w:i w:val="on"/>
          <w:u w:val="none"/>
          <w:color w:val=""/>
        </w:rPr>
        <w:t xml:space="preserve">
doc. Ing. Pavel Peterka, PhD., </w:t>
      </w:r>
      <w:hyperlink r:id="rId23">
        <w:r>
          <w:rPr>
            <w:rFonts w:ascii="" w:hAnsi="" w:cs="" w:eastAsia=""/>
            <w:sz w:val="20"/>
            <w:b w:val="off"/>
            <w:i w:val="on"/>
            <w:u w:val="single"/>
            <w:color w:val="0000FF"/>
          </w:rPr>
          <w:t>https://res.tuke.sk/api/vupch/1733/export</w:t>
          <w:br/>
        </w:r>
      </w:hyperlink>
      <w:r>
        <w:rPr>
          <w:rFonts w:ascii="" w:hAnsi="" w:cs="" w:eastAsia=""/>
          <w:sz w:val="20"/>
          <w:b w:val="off"/>
          <w:i w:val="on"/>
          <w:u w:val="none"/>
          <w:color w:val=""/>
        </w:rPr>
        <w:t xml:space="preserve">
doc. Ing. Ladislav Tometz, PhD., </w:t>
      </w:r>
      <w:hyperlink r:id="rId24">
        <w:r>
          <w:rPr>
            <w:rFonts w:ascii="" w:hAnsi="" w:cs="" w:eastAsia=""/>
            <w:sz w:val="20"/>
            <w:b w:val="off"/>
            <w:i w:val="on"/>
            <w:u w:val="single"/>
            <w:color w:val="0000FF"/>
          </w:rPr>
          <w:t>https://res.tuke.sk/api/vupch/871/export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https://maisportal.tuke.sk/portal/studijneProgramy.mais?spsId=49649111&amp;arksId=47507289&amp;fakultaId=6874&amp;lang=sk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6">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Natália Komjatiová, natalia.komjatiova@student.tuke.sk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Ing. Roman Farkašovský, PhD., </w:t>
      </w:r>
      <w:r w:rsidR="00505A88">
        <w:rPr>
          <w:rFonts w:cstheme="minorHAnsi"/>
          <w:i/>
          <w:iCs/>
          <w:sz w:val="20"/>
          <w:szCs w:val="20"/>
          <w:lang w:val="en-GB"/>
        </w:rPr>
        <w:t/>
      </w:r>
      <w:r w:rsidRPr="00BA4B69">
        <w:rPr>
          <w:rFonts w:cstheme="minorHAnsi"/>
          <w:i/>
          <w:iCs/>
          <w:sz w:val="20"/>
          <w:szCs w:val="20"/>
          <w:lang w:val="en-GB"/>
        </w:rPr>
        <w:t xml:space="preserve">roman.farkasovsky@tuke.sk, </w:t>
      </w:r>
      <w:r w:rsidR="00505A88">
        <w:rPr>
          <w:rFonts w:cstheme="minorHAnsi"/>
          <w:i/>
          <w:iCs/>
          <w:sz w:val="20"/>
          <w:szCs w:val="20"/>
          <w:lang w:val="en-GB"/>
        </w:rPr>
        <w:t/>
      </w:r>
      <w:r w:rsidRPr="00BA4B69">
        <w:rPr>
          <w:rFonts w:cstheme="minorHAnsi"/>
          <w:i/>
          <w:iCs/>
          <w:sz w:val="20"/>
          <w:szCs w:val="20"/>
          <w:lang w:val="en-GB"/>
        </w:rPr>
        <w:t>+421 55 6023132</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7">
        <w:r>
          <w:rPr>
            <w:rFonts w:ascii="" w:hAnsi="" w:cs="" w:eastAsia=""/>
            <w:sz w:val="20"/>
            <w:b w:val="off"/>
            <w:i w:val="off"/>
            <w:u w:val="single"/>
            <w:color w:val="0000FF"/>
          </w:rPr>
          <w:t>https://fberg.tuke.sk/wps/portal/fberg/uchadzaci/studijne-oddelenie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In addition to FBERG lecture halls and classrooms, the following laboratories are also available to support the study program:
Laboratory of luminescence dating </w:t>
      </w:r>
      <w:hyperlink r:id="rId28">
        <w:r>
          <w:rPr>
            <w:rFonts w:ascii="" w:hAnsi="" w:cs="" w:eastAsia=""/>
            <w:sz w:val="20"/>
            <w:b w:val="off"/>
            <w:i w:val="on"/>
            <w:u w:val="single"/>
            <w:color w:val="0000FF"/>
          </w:rPr>
          <w:t>https://fberg.tuke.sk/wps/wcm/connect/fberg.tuke.sk3719/89f4924e-ab0f-4a08-8195-ce095cf17c17/Vedecky_Park_FBERG_05_Laboratory_of_luminescence_dating.pdf?MOD=AJPERES&amp;CVID=nXtClDM</w:t>
          <w:br/>
        </w:r>
      </w:hyperlink>
      <w:r>
        <w:rPr>
          <w:rFonts w:ascii="" w:hAnsi="" w:cs="" w:eastAsia=""/>
          <w:sz w:val="20"/>
          <w:b w:val="off"/>
          <w:i w:val="on"/>
          <w:u w:val="none"/>
          <w:color w:val=""/>
        </w:rPr>
        <w:t xml:space="preserve">
Optical laboratory </w:t>
      </w:r>
      <w:hyperlink r:id="rId29">
        <w:r>
          <w:rPr>
            <w:rFonts w:ascii="" w:hAnsi="" w:cs="" w:eastAsia=""/>
            <w:sz w:val="20"/>
            <w:b w:val="off"/>
            <w:i w:val="on"/>
            <w:u w:val="single"/>
            <w:color w:val="0000FF"/>
          </w:rPr>
          <w:t>https://fberg.tuke.sk/wps/wcm/connect/fberg.tuke.sk3719/ef41e885-2c4e-4e8f-b037-05f91ca08c26/Vedecky_Park_FBERG_06_Optical_laboratory.pdf?MOD=AJPERES&amp;CVID=nXtClIU</w:t>
          <w:br/>
        </w:r>
      </w:hyperlink>
      <w:r>
        <w:rPr>
          <w:rFonts w:ascii="" w:hAnsi="" w:cs="" w:eastAsia=""/>
          <w:sz w:val="20"/>
          <w:b w:val="off"/>
          <w:i w:val="on"/>
          <w:u w:val="none"/>
          <w:color w:val=""/>
        </w:rPr>
        <w:t xml:space="preserve">
Geological computer laboratory </w:t>
      </w:r>
      <w:hyperlink r:id="rId30">
        <w:r>
          <w:rPr>
            <w:rFonts w:ascii="" w:hAnsi="" w:cs="" w:eastAsia=""/>
            <w:sz w:val="20"/>
            <w:b w:val="off"/>
            <w:i w:val="on"/>
            <w:u w:val="single"/>
            <w:color w:val="0000FF"/>
          </w:rPr>
          <w:t>https://fberg.tuke.sk/wps/wcm/connect/fberg.tuke.sk3719/de216d45-dbcc-4ebf-818b-6a7edac3a3d3/Vedecky_Park_FBERG_07_Geological_computer_laboratory.pdf?MOD=AJPERES&amp;CVID=nXtClOh</w:t>
          <w:br/>
        </w:r>
      </w:hyperlink>
      <w:r>
        <w:rPr>
          <w:rFonts w:ascii="" w:hAnsi="" w:cs="" w:eastAsia=""/>
          <w:sz w:val="20"/>
          <w:b w:val="off"/>
          <w:i w:val="on"/>
          <w:u w:val="none"/>
          <w:color w:val=""/>
        </w:rPr>
        <w:t xml:space="preserve">
Engineering Seismic Laboratory </w:t>
      </w:r>
      <w:hyperlink r:id="rId31">
        <w:r>
          <w:rPr>
            <w:rFonts w:ascii="" w:hAnsi="" w:cs="" w:eastAsia=""/>
            <w:sz w:val="20"/>
            <w:b w:val="off"/>
            <w:i w:val="on"/>
            <w:u w:val="single"/>
            <w:color w:val="0000FF"/>
          </w:rPr>
          <w:t>https://fberg.tuke.sk/wps/wcm/connect/fberg.tuke.sk3719/86e9019d-3a47-4e6a-9180-7e4a14c493d3/Vedecky_Park_FBERG_08_Seismic_engineering_laboratory.pdf?MOD=AJPERES&amp;CVID=nXtClSx</w:t>
          <w:br/>
        </w:r>
      </w:hyperlink>
      <w:r>
        <w:rPr>
          <w:rFonts w:ascii="" w:hAnsi="" w:cs="" w:eastAsia=""/>
          <w:sz w:val="20"/>
          <w:b w:val="off"/>
          <w:i w:val="on"/>
          <w:u w:val="none"/>
          <w:color w:val=""/>
        </w:rPr>
        <w:t xml:space="preserve">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For the development of the study program, the departments of the Technical University of Košice (TUKE) use the rich library fund of the University Library (UK), the mission of which is the information security of scientific research and the pedagogical process at TUKE. The digital library of the UK (</w:t>
      </w:r>
      <w:hyperlink r:id="rId32">
        <w:r>
          <w:rPr>
            <w:rFonts w:ascii="" w:hAnsi="" w:cs="" w:eastAsia=""/>
            <w:sz w:val="20"/>
            <w:b w:val="off"/>
            <w:i w:val="on"/>
            <w:u w:val="single"/>
            <w:color w:val="0000FF"/>
          </w:rPr>
          <w:t>http://www.lib.tuke.sk)</w:t>
          <w:br/>
        </w:r>
      </w:hyperlink>
      <w:r>
        <w:rPr>
          <w:rFonts w:ascii="" w:hAnsi="" w:cs="" w:eastAsia=""/>
          <w:sz w:val="20"/>
          <w:b w:val="off"/>
          <w:i w:val="on"/>
          <w:u w:val="none"/>
          <w:color w:val=""/>
        </w:rPr>
        <w:t xml:space="preserve"> is also available to TUKE students and employees, which provides: lending services; consulting services; reference services; digital services; MVS and MKVS service; education and training for writing theses.
Library services are concentrated in UK TUKE, which include all activities from searching in the library fund to searching for information in the online catalog and available databases (Springer Link, Science Direct, IEEExplore, etc.), to making specific documents available in print or electronic form in the UK fund (the total number of documents is 186966, of which 64228 books, 40046 textbooks, 7779 anthologies, 6341 bound periodicals, 7718 electronic documents, 31846 final and qualification theses).
Students have access to the Internet on the school premises and in the dormitories via a WiFi connection, which allows them unrestricted access to library services.
The MAIS academic information system </w:t>
      </w:r>
      <w:hyperlink r:id="rId33">
        <w:r>
          <w:rPr>
            <w:rFonts w:ascii="" w:hAnsi="" w:cs="" w:eastAsia=""/>
            <w:sz w:val="20"/>
            <w:b w:val="off"/>
            <w:i w:val="on"/>
            <w:u w:val="single"/>
            <w:color w:val="0000FF"/>
          </w:rPr>
          <w:t>http://mais.tuke.sk/</w:t>
          <w:br/>
        </w:r>
      </w:hyperlink>
      <w:r>
        <w:rPr>
          <w:rFonts w:ascii="" w:hAnsi="" w:cs="" w:eastAsia=""/>
          <w:sz w:val="20"/>
          <w:b w:val="off"/>
          <w:i w:val="on"/>
          <w:u w:val="none"/>
          <w:color w:val=""/>
        </w:rPr>
        <w:t xml:space="preserve"> ensures the entry, processing and provision of information about the admissions process (submission of the application, results, overviews), about the study (subject information sheets, timetable, registration for exams, results of interim and final evaluations, submission of final theses, assessments for final theses, etc.).
Overview of available study literature:
</w:t>
      </w:r>
      <w:hyperlink r:id="rId34">
        <w:r>
          <w:rPr>
            <w:rFonts w:ascii="" w:hAnsi="" w:cs="" w:eastAsia=""/>
            <w:sz w:val="20"/>
            <w:b w:val="off"/>
            <w:i w:val="on"/>
            <w:u w:val="single"/>
            <w:color w:val="0000FF"/>
          </w:rPr>
          <w:t>http://people.fberg.tuke.sk/es/index.php/monografie-vysokoskolske</w:t>
          <w:br/>
        </w:r>
      </w:hyperlink>
      <w:r>
        <w:rPr>
          <w:rFonts w:ascii="" w:hAnsi="" w:cs="" w:eastAsia=""/>
          <w:sz w:val="20"/>
          <w:b w:val="off"/>
          <w:i w:val="on"/>
          <w:u w:val="none"/>
          <w:color w:val=""/>
        </w:rPr>
        <w:t xml:space="preserve">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This study program does not use distance learning. An exception is a change in education due to an extraordinary situation or emergency.</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In addition to the classic library collection, modern electronic resources with flexibly updatable study materials of various types are available to support TUKE study programs. Both teaching materials and e-learning teaching materials (textbooks or scripts) were created. All are available in CD form or in LM systems, e.g. </w:t>
      </w:r>
      <w:hyperlink r:id="rId35">
        <w:r>
          <w:rPr>
            <w:rFonts w:ascii="" w:hAnsi="" w:cs="" w:eastAsia=""/>
            <w:sz w:val="20"/>
            <w:b w:val="off"/>
            <w:i w:val="on"/>
            <w:u w:val="single"/>
            <w:color w:val="0000FF"/>
          </w:rPr>
          <w:t>http://moodle.tuke.sk/.</w:t>
          <w:br/>
        </w:r>
      </w:hyperlink>
      <w:r>
        <w:rPr>
          <w:rFonts w:ascii="" w:hAnsi="" w:cs="" w:eastAsia=""/>
          <w:sz w:val="20"/>
          <w:b w:val="off"/>
          <w:i w:val="on"/>
          <w:u w:val="none"/>
          <w:color w:val=""/>
        </w:rPr>
        <w:t xml:space="preserve"> Other teaching materials are also available in the faculty LMS, or on the websites of subjects or various pedagogical projects. The CISCO Webex video conferencing system is also available for distance learning in the event of an emergency or other emergency situations at the link: </w:t>
      </w:r>
      <w:hyperlink r:id="rId36">
        <w:r>
          <w:rPr>
            <w:rFonts w:ascii="" w:hAnsi="" w:cs="" w:eastAsia=""/>
            <w:sz w:val="20"/>
            <w:b w:val="off"/>
            <w:i w:val="on"/>
            <w:u w:val="single"/>
            <w:color w:val="0000FF"/>
          </w:rPr>
          <w:t>https://tuke.webex.com/.</w:t>
          <w:br/>
        </w:r>
      </w:hyperlink>
      <w:r>
        <w:rPr>
          <w:rFonts w:ascii="" w:hAnsi="" w:cs="" w:eastAsia=""/>
          <w:sz w:val="20"/>
          <w:b w:val="off"/>
          <w:i w:val="on"/>
          <w:u w:val="none"/>
          <w:color w:val=""/>
        </w:rPr>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procedure of transition from full-time to distance learning is determined by the situation and conditions under which this procedure must be implemented. In the case of an extraordinary situation or an emergency, such a transition is ordered by order of the rector. A transition to complete distance education is also considered, i.e. lectures, computational or laboratory exercises, and seminars in online form without difference in the number of graduating students. The transition to a hybrid form means online lectures due to higher numbers of students and exercises or seminars in face-to-face form while respecting the relevant measures and restrictions. The decision on the appropriate procedure is made at the level of the faculty college of the dean and then the management of the institute.</w:t>
        <w:br/>
        <w:t xml:space="preserve"> </w:t>
        <w:br/>
        <w:t>In cases where the situation does not allow the defense of final theses to be carried out in a standard way, the availability of documents to the committee for the defense of bachelor's, engineering and doctoral theses via audiovisual transmission is applied at TUKE.</w:t>
        <w:br/>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List of partners participating in selected lectures and seminars of block teaching, professional practice and consultation of final theses of students of the study program:</w:t>
        <w:br/>
        <w:t/>
        <w:br/>
        <w:t>Ing. Jozef Levoča, MBA, Nafta a.s. Bratislava, jozef.levoca@nafta.sk</w:t>
        <w:br/>
        <w:t>Ing. Juraj Kotúc, PhD., State Geological Institute D. Štúr, juraj.kotuc@geology.sk</w:t>
        <w:br/>
        <w:t>Ing. Igor Jurik, Eurovia s.r.o., jurikgeo@gmail.com</w:t>
        <w:br/>
        <w:t>Ing. Martin Udič, PhD., Geoum, s.r.o., martin.udic@gmail.com</w:t>
        <w:br/>
        <w:t>Ing. Michal Bartko, PhD., Intergeo, s.r.o., intergeo@intergeo.sk</w:t>
        <w:br/>
        <w:t>Ing. Ivan Buchla, Carmeouse Slovakia, ivan.buchla@gmail.com</w:t>
        <w:br/>
        <w:t>doc. Mgr. Jan Cempírek, PhD, Masaryk University Brno, jcemp@sci.muni.cz</w:t>
        <w:br/>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37">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8">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9">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0">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1">
        <w:r>
          <w:rPr>
            <w:rFonts w:ascii="" w:hAnsi="" w:cs="" w:eastAsia=""/>
            <w:sz w:val="20"/>
            <w:b w:val="off"/>
            <w:i w:val="off"/>
            <w:u w:val="single"/>
            <w:color w:val="0000FF"/>
          </w:rPr>
          <w:t>https://fberg.tuke.sk/wps/portal/fberg/uchadzaci/studium-na-fberg</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2">
        <w:r>
          <w:rPr>
            <w:rFonts w:ascii="" w:hAnsi="" w:cs="" w:eastAsia=""/>
            <w:sz w:val="20"/>
            <w:b w:val="off"/>
            <w:i w:val="off"/>
            <w:u w:val="single"/>
            <w:color w:val="0000FF"/>
          </w:rPr>
          <w:t>https://fberg.tuke.sk/wps/portal/fberg/uchadzaci/prijimacie-konanie</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3">
        <w:r>
          <w:rPr>
            <w:rFonts w:ascii="" w:hAnsi="" w:cs="" w:eastAsia=""/>
            <w:sz w:val="20"/>
            <w:b w:val="off"/>
            <w:i w:val="off"/>
            <w:u w:val="single"/>
            <w:color w:val="0000FF"/>
          </w:rPr>
          <w:t>https://eprihlaska.tuke.sk/eprihlaska/pages/odosielatel/rozhranie_odosielatela.mais</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4">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5">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46">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47">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48">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10000&amp;field=2121T02&amp;year=2018" TargetMode="External" Type="http://schemas.openxmlformats.org/officeDocument/2006/relationships/hyperlink"/><Relationship Id="rId14" Target="https://uplatnenie.sk/?degree=V%C5%A0&amp;vs=709000000&amp;faculty=709010000&amp;field=2121T02&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maisportal.tuke.sk/portal/studijneProgramy.mais?spsId=49649111&amp;arksId=47507289&amp;fakultaId=6874&amp;lang=sk" TargetMode="External" Type="http://schemas.openxmlformats.org/officeDocument/2006/relationships/hyperlink"/><Relationship Id="rId18" Target="https://maisportal.tuke.sk/portal/studijneProgramy.mais?spsId=49649111&amp;arksId=47507289&amp;fakultaId=6874&amp;lang=sk" TargetMode="External" Type="http://schemas.openxmlformats.org/officeDocument/2006/relationships/hyperlink"/><Relationship Id="rId19" Target="https://fberg.tuke.sk/wps/wcm/connect/fberg.tuke.sk3719/b9655f70-fc82-46e3-a774-6ad68b7f6bc9/harmonogram_studia.pdf?MOD=AJPERES&amp;CVID=nMh9w4t" TargetMode="External" Type="http://schemas.openxmlformats.org/officeDocument/2006/relationships/hyperlink"/><Relationship Id="rId2" Target="numbering.xml" Type="http://schemas.openxmlformats.org/officeDocument/2006/relationships/numbering"/><Relationship Id="rId20" Target="https://res.tuke.sk/api/vupch/4931/export" TargetMode="External" Type="http://schemas.openxmlformats.org/officeDocument/2006/relationships/hyperlink"/><Relationship Id="rId21" Target="https://res.tuke.sk/api/vupch/5005/export" TargetMode="External" Type="http://schemas.openxmlformats.org/officeDocument/2006/relationships/hyperlink"/><Relationship Id="rId22" Target="https://res.tuke.sk/api/vupch/1730/export" TargetMode="External" Type="http://schemas.openxmlformats.org/officeDocument/2006/relationships/hyperlink"/><Relationship Id="rId23" Target="https://res.tuke.sk/api/vupch/1733/export" TargetMode="External" Type="http://schemas.openxmlformats.org/officeDocument/2006/relationships/hyperlink"/><Relationship Id="rId24" Target="https://res.tuke.sk/api/vupch/871/export" TargetMode="External" Type="http://schemas.openxmlformats.org/officeDocument/2006/relationships/hyperlink"/><Relationship Id="rId25" Target="https://maisportal.tuke.sk/portal/studijneProgramy.mais?spsId=49649111&amp;arksId=47507289&amp;fakultaId=6874&amp;lang=sk" TargetMode="External" Type="http://schemas.openxmlformats.org/officeDocument/2006/relationships/hyperlink"/><Relationship Id="rId26" Target="https://at.tuke.sk" TargetMode="External" Type="http://schemas.openxmlformats.org/officeDocument/2006/relationships/hyperlink"/><Relationship Id="rId27" Target="https://fberg.tuke.sk/wps/portal/fberg/uchadzaci/studijne-oddelenie" TargetMode="External" Type="http://schemas.openxmlformats.org/officeDocument/2006/relationships/hyperlink"/><Relationship Id="rId28" Target="https://fberg.tuke.sk/wps/wcm/connect/fberg.tuke.sk3719/89f4924e-ab0f-4a08-8195-ce095cf17c17/Vedecky_Park_FBERG_05_Laboratory_of_luminescence_dating.pdf?MOD=AJPERES&amp;CVID=nXtClDM" TargetMode="External" Type="http://schemas.openxmlformats.org/officeDocument/2006/relationships/hyperlink"/><Relationship Id="rId29" Target="https://fberg.tuke.sk/wps/wcm/connect/fberg.tuke.sk3719/ef41e885-2c4e-4e8f-b037-05f91ca08c26/Vedecky_Park_FBERG_06_Optical_laboratory.pdf?MOD=AJPERES&amp;CVID=nXtClIU" TargetMode="External" Type="http://schemas.openxmlformats.org/officeDocument/2006/relationships/hyperlink"/><Relationship Id="rId3" Target="styles.xml" Type="http://schemas.openxmlformats.org/officeDocument/2006/relationships/styles"/><Relationship Id="rId30" Target="https://fberg.tuke.sk/wps/wcm/connect/fberg.tuke.sk3719/de216d45-dbcc-4ebf-818b-6a7edac3a3d3/Vedecky_Park_FBERG_07_Geological_computer_laboratory.pdf?MOD=AJPERES&amp;CVID=nXtClOh" TargetMode="External" Type="http://schemas.openxmlformats.org/officeDocument/2006/relationships/hyperlink"/><Relationship Id="rId31" Target="https://fberg.tuke.sk/wps/wcm/connect/fberg.tuke.sk3719/86e9019d-3a47-4e6a-9180-7e4a14c493d3/Vedecky_Park_FBERG_08_Seismic_engineering_laboratory.pdf?MOD=AJPERES&amp;CVID=nXtClSx" TargetMode="External" Type="http://schemas.openxmlformats.org/officeDocument/2006/relationships/hyperlink"/><Relationship Id="rId32" Target="http://www.lib.tuke.sk)" TargetMode="External" Type="http://schemas.openxmlformats.org/officeDocument/2006/relationships/hyperlink"/><Relationship Id="rId33" Target="http://mais.tuke.sk/" TargetMode="External" Type="http://schemas.openxmlformats.org/officeDocument/2006/relationships/hyperlink"/><Relationship Id="rId34" Target="http://people.fberg.tuke.sk/es/index.php/monografie-vysokoskolske" TargetMode="External" Type="http://schemas.openxmlformats.org/officeDocument/2006/relationships/hyperlink"/><Relationship Id="rId35" Target="http://moodle.tuke.sk/." TargetMode="External" Type="http://schemas.openxmlformats.org/officeDocument/2006/relationships/hyperlink"/><Relationship Id="rId36" Target="https://tuke.webex.com/." TargetMode="External" Type="http://schemas.openxmlformats.org/officeDocument/2006/relationships/hyperlink"/><Relationship Id="rId37" Target="https://studium.tuke.sk/wps/portal/studium/univerzita/info-boxy-texty/studentsky-zivot" TargetMode="External" Type="http://schemas.openxmlformats.org/officeDocument/2006/relationships/hyperlink"/><Relationship Id="rId38" Target="https://ktv.tuke.sk/wps/portal" TargetMode="External" Type="http://schemas.openxmlformats.org/officeDocument/2006/relationships/hyperlink"/><Relationship Id="rId39" Target="https://www.tuke.sk/wps/portal/tuke/university/usek-pre-zahranicne-vztahy/referat-mobilitnych-programov" TargetMode="External" Type="http://schemas.openxmlformats.org/officeDocument/2006/relationships/hyperlink"/><Relationship Id="rId4" Target="settings.xml" Type="http://schemas.openxmlformats.org/officeDocument/2006/relationships/settings"/><Relationship Id="rId40" Target="https://erasmus.tuke.sk" TargetMode="External" Type="http://schemas.openxmlformats.org/officeDocument/2006/relationships/hyperlink"/><Relationship Id="rId41" Target="https://fberg.tuke.sk/wps/portal/fberg/uchadzaci/studium-na-fberg" TargetMode="External" Type="http://schemas.openxmlformats.org/officeDocument/2006/relationships/hyperlink"/><Relationship Id="rId42" Target="https://fberg.tuke.sk/wps/portal/fberg/uchadzaci/prijimacie-konanie" TargetMode="External" Type="http://schemas.openxmlformats.org/officeDocument/2006/relationships/hyperlink"/><Relationship Id="rId43" Target="https://eprihlaska.tuke.sk/eprihlaska/pages/odosielatel/rozhranie_odosielatela.mais" TargetMode="External" Type="http://schemas.openxmlformats.org/officeDocument/2006/relationships/hyperlink"/><Relationship Id="rId44" Target="https://legislativa.tuke.sk/legislativa/sekcia-pre-zamestnancov/organizacne-smernice/hlavne-procesy/h1-vzdelavanie/os_tuke_h1_01_vzdelavanie_vyd03.pdf/view" TargetMode="External" Type="http://schemas.openxmlformats.org/officeDocument/2006/relationships/hyperlink"/><Relationship Id="rId45" Target="https://www.tuke.sk/wps/portal/tuke/studies/studentske-ankety" TargetMode="External" Type="http://schemas.openxmlformats.org/officeDocument/2006/relationships/hyperlink"/><Relationship Id="rId46" Target="https://tuke.sk/wps/portal/tuke/university/vnutorny-system-kvality/studijne-programy" TargetMode="External" Type="http://schemas.openxmlformats.org/officeDocument/2006/relationships/hyperlink"/><Relationship Id="rId47" Target="https://www.tuke.sk/wps/portal/tuke/studies/legislativa-studia" TargetMode="External" Type="http://schemas.openxmlformats.org/officeDocument/2006/relationships/hyperlink"/><Relationship Id="rId48" Target="https://tuke.sk/wps/portal/tuke/university/legislativa-univerzity/interne-predpisy-a-smernice"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