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Fakulta baníctva, ekológie, riadenia a geotechnológií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riadenie procesov získavania a spracovania surovín,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21141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2.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767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kybernetika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Ing.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slovenský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2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>Študijný program Riadenie procesov získavania a spracovania surovín poskytne absolventom širší odborný profil s možnosťou uplatnenia vo výrobe, vo funkciách vysokokvalifikovaných odborných pracovníkov, špecialistov, vedúcich projekčných tímov pre riadiace systémy a manažérov na rôznych organizačných stupňoch v priemysle a vo firmách, obchodných organizáciách zameraných na priemyselnú automatizáciu.  Absolvent má vedomosti o vnútorných procesov technológie výroby. Pri príprave týchto absolventov je kladený dôraz na veľmi dobré zvládnutie typových procesov a im adekvátnych matematických modelov. Absolvent je schopný vykonávať aj kvalifikovaného projektanta zložitých automatizovaných celkov. Tiež sa veľmi dobre uplatnia vo výskumných a projekčných organizáciách, doma i v zahraničí.</w:t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Cieľom vzdelávania je poskytnúť absolventovi študijného programu pokročilé informácie z oblasti kybernetiky so zameraním na oblasť automatizácie a riadenia procesov. Absolvent študijného programu Riadenie procesov získavania a spracovania surovín, inžiniersky stupeň, nadväzuje na profil absolventa bakalárskeho stupňa (Automatizácia a riadenie procesov získavania a spracovania surovín) a teda je schopný na profesionálnej úrovni nielen zavádzať a zabezpečovať funkčnú prevádzku informačných a riadiacich systémov výrobných a technologických procesov, ale je schopný samostatne riešiť aj problémy návrhu a projektovania zložitých riadiacich a informačných systémov s využitím najnovších výsledkov vedy a techniky v odbore. Jeho špecifickou znalosťou je dobré poznanie vnútorných procesov technológie výroby. Pri príprave týchto absolventov je kladený dôraz na veľmi dobré zvládnutie typových procesov a im adekvátnych matematických modelov. To dáva predpoklady pre kvalifikované zvládnutie projektanta zložitých automatizovaných celkov. Uplatnenie nájdu ako vedúci a vývojoví pracovníci pre zavádzanie automatizácie vo výrobno-technologických jednotkách a firmách projektujúcich riadiace systémy a v neposlednom rade uplatnenie nájdu aj ako tvoriví pracovníci vo výskume. 
</w:t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Absolvent študijného programu Riadenie procesov získavania a spracovania surovín, inžiniersky stupeň, nadväzuje na profil absolventa bakalárskeho stupňa (Automatizácia a riadenie procesov získavania a spracovania surovín) teda je schopný na profesionálnej úrovni nielen zavádzať a zabezpečovať funkčnú prevádzku informačných a riadiacich systémov výrobných a technologických procesov, ale je schopný samostatne riešiť aj problémy návrhu a projektovania zložitých riadiacich a informačných systémov s využitím najnovších výsledkov vedy a techniky v  odbore.</w:t>
        <w:br/>
        <w:t/>
        <w:br/>
        <w:t>Absolventi teda budú mať vedomosti zo všeobecných metód analýzy, návrhu a implementácie systémov automatického riadenia, z analýzy technologických zariadení a procesov, z informačných technológií, návrhu technických a programových prostriedkov, návrhov systémov optimálneho riadenia a ich implementácie v konkrétnej aplikácii. Majú na zodpovedajúcej úrovni vedomosti z prírodných vied, informatiky, ekonomických,  a spoločenských vied.</w:t>
        <w:br/>
        <w:t/>
        <w:br/>
        <w:t xml:space="preserve">Z hľadiska bližšej špecifikácie profilu štúdia vie absolvent ovládať aktívne programovanie klasickej aj špeciálnej výpočtovej techniky (PLC). Pri tvorbe algoritmov bude schopný využiť základné metódy matematického modelovania procesov, automatického a optimálneho riadenia procesov. Tak isto bude schopný navrhovať a zavádzať do praxe moderné informačné technológie, vrátane Web – technológií pre riadenie vzdialených technologických procesov (remote control) a DB – technológií pre potreby riadenia technologických procesov. </w:t>
        <w:br/>
        <w:t/>
        <w:br/>
        <w:t>Špecifickou znalosťou absolventa je dobré poznanie vnútorných procesov technológie výroby. Pri príprave týchto absolventov je kladený dôraz na veľmi dobré zvládnutie typových procesov a im adekvátnych matematických modelov. To dáva predpoklady pre kvalifikované zvládnutie projektanta zložitých automatizovaných celkov. Absolventi sa uplatňujú predovšetkým ako projektanti riadiacich a monitorovacích systémov pre technologické procesy, ale aj pre automatizáciu výrobných liniek v oblasti spracovania surovín. Uplatnenie nájdu ako vedúci a vývojoví pracovníci pre zavádzanie automatizácie vo výrobno-technologických jednotkách a firmách projektujúcich riadiace systémy a tiež ako tvoriví pracovníci vo výskume.  Majú aj dostatočne rozvinuté  zručnosti vzdelávať sa a pokračovať v ďalšom štúdiu v nadväzujúcom študijnom programe 3. stupňa v danom odbore.</w:t>
        <w:br/>
        <w:t/>
        <w:br/>
        <w:t>Profilové predmety:</w:t>
        <w:br/>
        <w:t>-Nelineárne programovanie (Durdán)</w:t>
        <w:br/>
        <w:t>-Systémy distribuovaného riadenia (Petráš)</w:t>
        <w:br/>
        <w:t>-Modelovanie technologických procesov spracovania surovín (Durdán)</w:t>
        <w:br/>
        <w:t>-Riadenie nelineárnych systémov a systémov NR (Petráš)</w:t>
        <w:br/>
        <w:t>-Podporné počítačové prostriedky pre riadenie (Škovránek)</w:t>
        <w:br/>
        <w:t>-Optimálne riadenie (Laciak)</w:t>
        <w:br/>
        <w:t>-Štruktúry RS v sprac. priemysle (Petráš)</w:t>
        <w:br/>
        <w:t>-Prostriedky navrhovania RS (Kačur)</w:t>
        <w:br/>
        <w:t>-Moderné trendy v automatizácii (Petráš)</w:t>
        <w:br/>
        <w:t>-Teória automatického a optimálneho riadenia  (Petráš)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Technik automatizovaných riadiacich systémov energetick... 6</w:t>
        <w:br/>
        <w:t xml:space="preserve">          Strojársky špecialista automatizácie 7</w:t>
        <w:br/>
        <w:t xml:space="preserve">          Projektový špecialista (projektový manažér) 7</w:t>
        <w:br/>
        <w:t xml:space="preserve">          Špecialista optimalizácie procesov 7</w:t>
        <w:br/>
        <w:t xml:space="preserve">          Výskumný pracovník v oblasti riadenia procesov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https://uplatnenie.sk/?degree=V%C5%A0&amp;vs=709000000&amp;faculty=709010000&amp;field=2621T05&amp;year=2018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7
Priemerná mzda: 1677 eur
Polovica absolventov zarábala viac ako: 1698 eur
TOP 3 odvetvia v ktorých absolventi pracovali:
- Priemyselná výroba (40 %)
- Informácie a komunikácia (40 %)
- Veľkoobchod a maloobchod (20 %)
TOP 3 zamestnania v ktorých absolventi pracovali:
- Riadiaci pracovníci v oblasti informačných a komunikačných technológií (20 %)
- Kvalitári a kontrolóri výrobkov (okrem potravín a nápojov) (20 %)
- Pokladníci a predavači lístkov (20 %)
Zamestnaní: 86 %
Pracujúci na dohodu: 0 %
SZČO: 0 %
Na materskej dovolenke: 0 %
Nezamestnaní: 14 %
Pokračujúci v štúdiu: 0 %
Ostatní (pracujúci v zahraničí, dobrovoľne nezamestnaní): 0 %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https://uplatnenie.sk/?degree=V%C5%A0&amp;vs=709000000&amp;faculty=709010000&amp;field=2621T05&amp;year=2019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Z dôvodu nízkeho počtu absolventov nie sú k dispozícii údaje o uplatnení.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Ing. Marek Lukačín, U.S.Steel Košice, s.r.o.</w:t>
        <w:br/>
        <w:t>Ing. Róbert Paľo, Siemens, s.r.o.</w:t>
        <w:br/>
        <w:t>Ing. Edo Brežinský, Národný bezpečnostný úrad  SR</w:t>
        <w:br/>
        <w:t>Ing. Dominik Helfen, T-Systems Slovakia</w:t>
        <w:br/>
        <w:t>Ing. Patrik Džugan, ATS automation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Viď vyplnený formulár „Vyjadrenie autority z praxe k ŠP“ od zástupcov zamestnávateľov, ktorý je prílohou opisu študijného programu.</w:t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https://maisportal.tuke.sk/portal/studijneProgramy.mais?spsId=49502025&amp;arksId=47507289&amp;fakultaId=6874&amp;lang=sk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https://maisportal.tuke.sk/portal/studijneProgramy.mais?spsId=49502025&amp;arksId=47507289&amp;fakultaId=6874&amp;lang=sk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Ivo Petráš, DrSc.,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ivo.petras@tuke.sk,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6022011,+421 55 6025194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prof. Ing. Ivo Petráš, DrSc., ivo.petras@tuke.sk, +421 55 6022011,+421 55 6025194</w:t>
        <w:br/>
        <w:t xml:space="preserve">          doc. Ing. Tomáš Škovránek, PhD., tomas.skovranek@tuke.sk, +421 55 6025143</w:t>
        <w:br/>
        <w:t xml:space="preserve">          doc. Ing. Milan Durdán, PhD., milan.durdan@tuke.sk, +421 55 6025178</w:t>
        <w:br/>
        <w:t xml:space="preserve">          prof. Ing. Marek Laciak, PhD., marek.laciak@tuke.sk, +421 55 6025175</w:t>
        <w:br/>
        <w:t xml:space="preserve">          doc. Ing. Ján Kačur, PhD., jan.kacur@tuke.sk, +421 55 6025176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prof. Ing. Ivo Petráš, DrSc., </w:t>
      </w:r>
      <w:hyperlink r:id="rId2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https://res.tuke.sk/api/vupch/1876/export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Tomáš Škovránek, PhD.,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https://res.tuke.sk/api/vupch/8962/export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Milan Durdán,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https://res.tuke.sk/api/vupch/6311/export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Marek Laciak,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https://res.tuke.sk/api/vupch/1955/export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Ján Kačur,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https://res.tuke.sk/api/vupch/6313/export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https://maisportal.tuke.sk/portal/studijneProgramy.mais?spsId=49502025&amp;arksId=47507289&amp;fakultaId=6874&amp;lang=sk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Filip Timko, filip.timko@student.tuke.sk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Marek Laciak,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marek.laciak@tuke.sk,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+421 55 6025175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https://fberg.tuke.sk/sk/studijne-oddelenie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klasických posluchárni sú na zabezpečenie študijného programu k dispozícií aj tieto laboratória:
- Laboratórium informatizácie procesov a informačných systémov – LIP/PC3 – BN3, (Laboratórium slúži pre získavanie zručností a skúseností pri projektovaní a navrhovaní informačných podnikových systémov, návrhu a tvorbe web aplikácií),
- Laboratórium informačných technológií a prostriedkov – PC2 – BN3, (V prvých ročníkoch laboratórium slúži pre získavanie zručností a skúseností z práce na počítačovej sieti a základov práce s prostriedkami informatiky s užívateľským balíkom Microsoft Office),
- Laboratórium priameho riadenia – PC4 – PK14, (Laboratórium slúži na výučbu a výskum v problematike priameho číslicového riadenia),
- Laboratórium technologických procesov - LPT - PK19 (Laboratórium slúži na vykonávanie a vyhodnocovanie experimentálnym spôsobom spracovanie surovín vo vybraných technológiách),
- Laboratórium priemyselných riadiacich systémov – LPRS – BN3, (Laboratórium LPRS je vytvorené pre výučbu predmetov súvisiacich s technickou stránkou,  s programovaním riadiacich automatov, sú v ňom umiestnené aj objekty pre riadenie a automatizáciu procesov). 
Viac informácií je na web stránke ústavu: </w:t>
      </w:r>
      <w:hyperlink r:id="rId2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https://uraivp.fberg.tuke.sk/o_ustave.php#tech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a v legislatíve fakulty:
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https://fberg.tuke.sk/sk/legislativa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>Pracoviská Technickej univerzity v Košiciach (TUKE) využívajú pre rozvoj študijného programu bohatý knižničný fond Univerzitnej knižnice (UK), poslaním ktorej je informačné zabezpečenie vedeckého výskumu a pedagogického procesu na TUKE. Študentom a zamestnancom TUKE je k dispozícii tiež digitálna knižnica UK (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http://www.lib.tuke.sk),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ktorá poskytuje: výpožičné služby; konzultačné služby; referenčné služby; digitálne služby; službu MVS a MKVS; vzdelávania a školenia k písaniu záverečných prác.
Knižničné služby sú sústredené v UK TUKE, ktoré zahrňujú všetky činnosti od vyhľadávania v knižničnom fonde cez vyhľadávanie informácií v on-line katalógu a dostupných databázach (Springer Link, Science Direct, IEEExplore a pod.), až po sprístupnenie konkrétnych dokumentov v tlačovej alebo elektronickej forme vo fonde UK  (celkový počet dokumentov je 186966, z toho 64228 kníh, 40046 učebníc, 7779 zborníkov, 6341 zviazaných periodík, 7718 elektronických dokumentov, 31846 záverečných a kvalifikačných prác). 
Študenti majú v areály školy a na internátoch prístup k internetu aj cez WiFi pripojenie, čo im umožňuje neobmedzený prístup ku knižničným službám.
Akademický informačný systém MAIS 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http://mais.tuke.sk/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zabezpečuje zadávanie, spracovanie a poskytovanie informácií o prijímacom konaní (podanie prihlášky, výsledky, prehľady), o štúdiu (informačné listy predmetov, rozvrh, prihlasovanie sa na skúšky, výsledky priebežných a záverečných hodnotení, zadávanie záverečných prác, posudky na záverečné práce a pod.).
Prehľad dostupnej študijnej literatúry:
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http://people.fberg.tuke.sk/es/index.php/monografie-vysokoskolske-ucebnice/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http://people.fberg.tuke.sk/es/index.php/cennik-skript/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 tomto študijnom programe sa neuplatňuje dištančné vzdelávanie. Výnimkou je zmena vzdelávania v dôsledku mimoriadnej situácie alebo núdzového stavu.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klasického knižničného fondu prostredníctvom UK  sú dispozícii pre zabezpečenie študijných programov TUKE aj moderné elektronické  zdroje s pružne aktualizovateľnými študijnými materiálmi rôzneho typu. Boli vytvorené učebné materiály aj e-learningové učebné materiály (učebnice alebo skriptá). Všetky sú dostupné v CD forme alebo v LM systémoch, napr. </w:t>
      </w:r>
      <w:hyperlink r:id="rId3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http://moodle.tuke.sk/.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Ďalšie výučbové materiály sú k dispozícii aj vo fakultných LMS, či na webových sídlach predmetov alebo rôznych pedagogických projektov.
Pre dištančnú formu vzdelávania alebo pre mimoriadne prípady je k dispozícií aj videokonferenčný systém CISCO Webex na odkaze: </w:t>
      </w:r>
      <w:hyperlink r:id="rId3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https://tuke.webex.com/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Postup prechodu z prezenčného na dištančné vzdelávanie determinuje situácia a podmienky, v rámci ktorých je potrebné tento postup realizovať. V prípade mimoriadnej situácie alebo núdzového stavu je takýto prechod nariadený príkazom rektora. Do úvahy prichádza aj prechod na kompletné dištančné vzdelávanie, t.j. prednášky, výpočtové alebo laboratórne cvičenia, a semináre v online forme bez rozdielu v počtoch absolvujúcich študentov. Prechod na hybridnú formu znamená online prednášky z dôvodu vyšších počtov študentov a cvičenia alebo semináre v prezenčnej forme pri rešpektovaní príslušných opatrení a obmedzení. Rozhodovanie o vhodnom postupe prebieha na úrovni fakultného kolégia dekana a následne vedenia ústavu.</w:t>
        <w:br/>
        <w:t xml:space="preserve"> </w:t>
        <w:br/>
        <w:t>V prípadoch, kedy situácia neumožňuje realizovať obhajoby záverečných prác štandardným spôsobom, na  TUKE sa uplatňuje  dostupnosti podkladov komisii pre obhajoby bakalárskej, inžinierskej a doktorandskej práce prostredníctvom audiovizuálneho prenosu.</w:t>
        <w:br/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Zoznam partnerov, podieľajúcich sa na blokovej výučbe:</w:t>
        <w:br/>
        <w:t/>
        <w:br/>
        <w:t xml:space="preserve">Ing. 	Gabriel Tréfa, PhD.,	U.S.Steel Košice,	GTrefa@sk.uss.com </w:t>
        <w:br/>
        <w:t xml:space="preserve">Ing.	Róbert Vandlik , 	U.S.Steel Košice,	RVandlik@sk.uss.com </w:t>
        <w:br/>
        <w:t xml:space="preserve">Ing.	Andrea Kalafusová,	Fpt Slovakia s.r.o., Andrea.Kalafusova@fpt.sk </w:t>
        <w:br/>
        <w:t xml:space="preserve">Ing.	Tibor Gujdán,	Fpt Slovakia s.r.o.,	tibor.gujdan@fpt.sk </w:t>
        <w:br/>
        <w:t xml:space="preserve">Ing.	Richard Szeplaki,	Siemens Healthcare s.r.o.,	richard.szeplaki@siemens-healthineers.com </w:t>
        <w:br/>
        <w:t xml:space="preserve">Ing.	Branislav Černík ,	Ford,	bcernik@ford.com </w:t>
        <w:br/>
        <w:t xml:space="preserve">Ing.	Martin Majer,	B+R automatizace,	Martin.Majer@br-automation.com </w:t>
        <w:br/>
        <w:t xml:space="preserve">Ing.	Boris Havrila,	B+R automatizace,	boris.havrila@br-automation.com </w:t>
        <w:br/>
        <w:t xml:space="preserve">Ing.	Nikola Timková, 	Handtmann Kechnec s. r. o.	</w:t>
        <w:br/>
        <w:t xml:space="preserve">Ing. 	Ladislav Kandráč, PhD.,  Magneti Marelli	</w:t>
        <w:br/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https://fberg.tuke.sk/sk/inzinierske-studijne-programy-podmienky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https://fberg.tuke.sk/sk/inzinierske-studijne-programy-podmienky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https://eprihlaska.tuke.sk/eprihlaska/pages/odosielatel/rozhranie_odosielatela.mais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10000&amp;field=2621T05&amp;year=2018" TargetMode="External" Type="http://schemas.openxmlformats.org/officeDocument/2006/relationships/hyperlink"/><Relationship Id="rId14" Target="https://uplatnenie.sk/?degree=V%C5%A0&amp;vs=709000000&amp;faculty=709010000&amp;field=2621T05&amp;year=2019" TargetMode="External" Type="http://schemas.openxmlformats.org/officeDocument/2006/relationships/hyperlink"/><Relationship Id="rId15" Target="https://tuke.sk/wps/portal/tuke/university/vnutorny-system-kvality/studijne-programy" TargetMode="External" Type="http://schemas.openxmlformats.org/officeDocument/2006/relationships/hyperlink"/><Relationship Id="rId16" Target="https://tuke.sk/wps/portal/tuke/university/legislativa-univerzity/interne-predpisy-a-smernice" TargetMode="External" Type="http://schemas.openxmlformats.org/officeDocument/2006/relationships/hyperlink"/><Relationship Id="rId17" Target="https://legislativa.tuke.sk/legislativa" TargetMode="External" Type="http://schemas.openxmlformats.org/officeDocument/2006/relationships/hyperlink"/><Relationship Id="rId18" Target="https://maisportal.tuke.sk/portal/studijneProgramy.mais?spsId=49502025&amp;arksId=47507289&amp;fakultaId=6874&amp;lang=sk" TargetMode="External" Type="http://schemas.openxmlformats.org/officeDocument/2006/relationships/hyperlink"/><Relationship Id="rId19" Target="https://maisportal.tuke.sk/portal/studijneProgramy.mais?spsId=49502025&amp;arksId=47507289&amp;fakultaId=6874&amp;lang=sk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fberg.tuke.sk/sk/harmonogram-studia" TargetMode="External" Type="http://schemas.openxmlformats.org/officeDocument/2006/relationships/hyperlink"/><Relationship Id="rId21" Target="https://res.tuke.sk/api/vupch/1876/export" TargetMode="External" Type="http://schemas.openxmlformats.org/officeDocument/2006/relationships/hyperlink"/><Relationship Id="rId22" Target="https://res.tuke.sk/api/vupch/8962/export" TargetMode="External" Type="http://schemas.openxmlformats.org/officeDocument/2006/relationships/hyperlink"/><Relationship Id="rId23" Target="https://res.tuke.sk/api/vupch/6311/export" TargetMode="External" Type="http://schemas.openxmlformats.org/officeDocument/2006/relationships/hyperlink"/><Relationship Id="rId24" Target="https://res.tuke.sk/api/vupch/1955/export" TargetMode="External" Type="http://schemas.openxmlformats.org/officeDocument/2006/relationships/hyperlink"/><Relationship Id="rId25" Target="https://res.tuke.sk/api/vupch/6313/export" TargetMode="External" Type="http://schemas.openxmlformats.org/officeDocument/2006/relationships/hyperlink"/><Relationship Id="rId26" Target="https://maisportal.tuke.sk/portal/studijneProgramy.mais?spsId=49502025&amp;arksId=47507289&amp;fakultaId=6874&amp;lang=sk" TargetMode="External" Type="http://schemas.openxmlformats.org/officeDocument/2006/relationships/hyperlink"/><Relationship Id="rId27" Target="https://at.tuke.sk" TargetMode="External" Type="http://schemas.openxmlformats.org/officeDocument/2006/relationships/hyperlink"/><Relationship Id="rId28" Target="https://fberg.tuke.sk/sk/studijne-oddelenie" TargetMode="External" Type="http://schemas.openxmlformats.org/officeDocument/2006/relationships/hyperlink"/><Relationship Id="rId29" Target="https://uraivp.fberg.tuke.sk/o_ustave.php#tech" TargetMode="External" Type="http://schemas.openxmlformats.org/officeDocument/2006/relationships/hyperlink"/><Relationship Id="rId3" Target="styles.xml" Type="http://schemas.openxmlformats.org/officeDocument/2006/relationships/styles"/><Relationship Id="rId30" Target="https://fberg.tuke.sk/sk/legislativa" TargetMode="External" Type="http://schemas.openxmlformats.org/officeDocument/2006/relationships/hyperlink"/><Relationship Id="rId31" Target="http://www.lib.tuke.sk)," TargetMode="External" Type="http://schemas.openxmlformats.org/officeDocument/2006/relationships/hyperlink"/><Relationship Id="rId32" Target="http://mais.tuke.sk/" TargetMode="External" Type="http://schemas.openxmlformats.org/officeDocument/2006/relationships/hyperlink"/><Relationship Id="rId33" Target="http://people.fberg.tuke.sk/es/index.php/monografie-vysokoskolske-ucebnice/" TargetMode="External" Type="http://schemas.openxmlformats.org/officeDocument/2006/relationships/hyperlink"/><Relationship Id="rId34" Target="http://people.fberg.tuke.sk/es/index.php/cennik-skript/" TargetMode="External" Type="http://schemas.openxmlformats.org/officeDocument/2006/relationships/hyperlink"/><Relationship Id="rId35" Target="http://moodle.tuke.sk/." TargetMode="External" Type="http://schemas.openxmlformats.org/officeDocument/2006/relationships/hyperlink"/><Relationship Id="rId36" Target="https://tuke.webex.com/" TargetMode="External" Type="http://schemas.openxmlformats.org/officeDocument/2006/relationships/hyperlink"/><Relationship Id="rId37" Target="https://studium.tuke.sk/wps/portal/studium/univerzita/info-boxy-texty/studentsky-zivot" TargetMode="External" Type="http://schemas.openxmlformats.org/officeDocument/2006/relationships/hyperlink"/><Relationship Id="rId38" Target="https://ktv.tuke.sk/wps/portal" TargetMode="External" Type="http://schemas.openxmlformats.org/officeDocument/2006/relationships/hyperlink"/><Relationship Id="rId39" Target="https://www.tuke.sk/wps/portal/tuke/university/usek-pre-zahranicne-vztahy/referat-mobilitnych-programov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erasmus.tuke.sk" TargetMode="External" Type="http://schemas.openxmlformats.org/officeDocument/2006/relationships/hyperlink"/><Relationship Id="rId41" Target="https://fberg.tuke.sk/sk/inzinierske-studijne-programy-podmienky" TargetMode="External" Type="http://schemas.openxmlformats.org/officeDocument/2006/relationships/hyperlink"/><Relationship Id="rId42" Target="https://fberg.tuke.sk/sk/inzinierske-studijne-programy-podmienky" TargetMode="External" Type="http://schemas.openxmlformats.org/officeDocument/2006/relationships/hyperlink"/><Relationship Id="rId43" Target="https://eprihlaska.tuke.sk/eprihlaska/pages/odosielatel/rozhranie_odosielatela.mais" TargetMode="External" Type="http://schemas.openxmlformats.org/officeDocument/2006/relationships/hyperlink"/><Relationship Id="rId44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45" Target="https://www.tuke.sk/wps/portal/tuke/studies/studentske-ankety" TargetMode="External" Type="http://schemas.openxmlformats.org/officeDocument/2006/relationships/hyperlink"/><Relationship Id="rId46" Target="https://tuke.sk/wps/portal/tuke/university/vnutorny-system-kvality/studijne-programy" TargetMode="External" Type="http://schemas.openxmlformats.org/officeDocument/2006/relationships/hyperlink"/><Relationship Id="rId47" Target="https://www.tuke.sk/wps/portal/tuke/studies/legislativa-studia" TargetMode="External" Type="http://schemas.openxmlformats.org/officeDocument/2006/relationships/hyperlink"/><Relationship Id="rId48" Target="https://tuke.sk/wps/portal/tuke/university/legislativa-univerzity/interne-predpisy-a-smernice" TargetMode="External" Type="http://schemas.openxmlformats.org/officeDocument/2006/relationships/hyperlink"/><Relationship Id="rId49" Target="https://legislativa.tuke.sk/legislativa" TargetMode="External" Type="http://schemas.openxmlformats.org/officeDocument/2006/relationships/hyperlink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