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umení</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voľné výtvarné umenie,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21093</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umenie</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Absolventi bakalárskeho študijného programu „Voľné výtvarné umenie“ majú vedomosti z oblasti dejín umenia o princípoch a teórie príslušného druhu umenia, ovládajú interpretačné a realizačné techniky, rozumejú požiadavkám na individuálnu kreatívnu tvorbu. Rozumejú poznatkom z výtvarnej kompozície, z farby, písma, plošnej a priestorovej realizácie, typografie, vedia ich analyzovať, konkrétne aplikovať. Dokážu tvorivo reagovať na podnety a problémy z rôznych disciplín pri tvorbe 2D a 3D artefaktov.</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ovláda proces tvorby a umelecké postupy, je schopný analyzovať a definovať teoretické východiská. Disponuje vedomosťami z teórie a dejín umenia, estetiky a filozofie. Orientuje sa v odbornej terminológii, ovláda pojmy a princípy, ako aj dejinné súvislosti v danej oblasti umenia. Nadobudnuté vedomosti dokáže využiť pri analýze, autorskej tvorbe alebo interpretácii spôsobom, ktorý preukazuje pochopenie vzájomných alebo kauzálnych súvislostí. Vie používať základný pojmový a metodologický aparát v rámci rôznych kategórií umenia. </w:t>
        <w:br/>
        <w:t>Absolvent preukazuje tvorivé schopnosti, umelecké videnie a schopnosť osobnostnej výpovede, ovláda interpretačné a realizačné techniky, uplatňuje funkcie tvorivosti a osobitosti pri tvorbe alebo interpretácii umeleckého diela. Dokáže aplikovať analytické myslenie, vyvodzovať vlastné závery a tvorivo, koncepčne a metodologicky uvažovať pri riešení špecifických problémov v danej oblasti umenia.</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Absolvent na základe osvojenia si praktického základu tvorivých postupov a metód vzniku alebo interpretácie umeleckého diela dokáže flexibilne reagovať a prezentovať svoje názory a stanoviská viažuce sa na problematiku príslušného druhu umenia, obhájiť svoje koncepcie a prezentovať ich. Je schopný pracovať samostatne alebo ako člen tímu. Získané vedomosti a zručnosti dokáže samostatne aplikovať pri tvorbe alebo interpretácii umeleckého diela. Absolvent sleduje aktuálne tendencie a vývoj v danej oblasti umenia, pokračuje vo vlastnom profesionálnom a osobnostnom rozvoji, uvedomuje si spoločenský rozmer a hodnotové aspekty svojej tvorivej činnosti.</w:t>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Umelecký maliar 6</w:t>
        <w:br/>
        <w:t xml:space="preserve">          Umelecký sochár 6</w:t>
        <w:br/>
        <w:t xml:space="preserve">          Vizuálny umelec - fotograf 6</w:t>
        <w:br/>
        <w:t xml:space="preserve">          Umelecký grafik</w:t>
        <w:br/>
        <w:t xml:space="preserve">          Multimediálny a intermediálny umelec</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https://uplatnenie.sk/?degree=V%C5%A0&amp;vs=709000000&amp;faculty=709090000&amp;field=8216R04&amp;year=2018</w:t>
          <w:br/>
        </w:r>
      </w:hyperlink>
      <w:r>
        <w:rPr>
          <w:rFonts w:ascii="" w:hAnsi="" w:cs="" w:eastAsia=""/>
          <w:sz w:val="20"/>
          <w:b w:val="off"/>
          <w:i w:val="on"/>
          <w:u w:val="none"/>
          <w:color w:val=""/>
        </w:rPr>
        <w:t xml:space="preserve">
Počet absolventov: 9
Zamestnaní: 11 %
Pracujúci na dohodu: 11 %
SZČO: 0 %
Na materskej dovolenke: 0 %
Nezamestnaní: 11 %
Pokračujúci v štúdiu: 56 %
Ostatní (pracujúci v zahraničí, dobrovoľne nezamestnaní): 11 %
Rok: 2019
Zdroj: </w:t>
      </w:r>
      <w:hyperlink r:id="rId14">
        <w:r>
          <w:rPr>
            <w:rFonts w:ascii="" w:hAnsi="" w:cs="" w:eastAsia=""/>
            <w:sz w:val="20"/>
            <w:b w:val="off"/>
            <w:i w:val="on"/>
            <w:u w:val="single"/>
            <w:color w:val="0000FF"/>
          </w:rPr>
          <w:t>https://uplatnenie.sk/?degree=V%C5%A0&amp;vs=709000000&amp;faculty=709090000&amp;field=8216R04&amp;year=2019</w:t>
          <w:br/>
        </w:r>
      </w:hyperlink>
      <w:r>
        <w:rPr>
          <w:rFonts w:ascii="" w:hAnsi="" w:cs="" w:eastAsia=""/>
          <w:sz w:val="20"/>
          <w:b w:val="off"/>
          <w:i w:val="on"/>
          <w:u w:val="none"/>
          <w:color w:val=""/>
        </w:rPr>
        <w:t xml:space="preserve">
Počet absolventov: 11
Zamestnaní: 0 %
Pracujúci na dohodu: 0 %
SZČO: 0 %
Na materskej dovolenke: 0 %
Nezamestnaní: 9 %
Pokračujúci v štúdiu: 82 %
Ostatní (pracujúci v zahraničí, dobrovoľne nezamestnaní): 9 %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Katarína Hládeková – multimediálna umelkyňa, vysokoškolská pedagogička (FaVU, VUT Brno). 
Absolvovala bakalársky stupeň v Ateliéri grafiky a experimentálnej tvorby v r. 2007. Katarína Hládeková je umelkyňa, kurátorka, teoretička a pedagogička, viedla odbor Nové médiá na SSUD Brno. Aktuálne pôsobí na FaVU VUT v Brne ako prodekanka pre štúdium, podieľa sa na vedení grafických dielní, asistuje v Ateliéri KREGRA. Spolupracuje s Galériou TIC, publikuje v rámci platformy Artalk, je členkou spolku Skutek a kurátorsko-umeleckého zoskupenia Café Utopia (Zuzana Janečková, Marika Kupková, Markéta Žáčková). 
</w:t>
      </w:r>
      <w:hyperlink r:id="rId15">
        <w:r>
          <w:rPr>
            <w:rFonts w:ascii="" w:hAnsi="" w:cs="" w:eastAsia=""/>
            <w:sz w:val="20"/>
            <w:b w:val="off"/>
            <w:i w:val="on"/>
            <w:u w:val="single"/>
            <w:color w:val="0000FF"/>
          </w:rPr>
          <w:t>https://www.vut.cz/lide/katarina-hladekova-121986</w:t>
          <w:br/>
        </w:r>
      </w:hyperlink>
      <w:r>
        <w:rPr>
          <w:rFonts w:ascii="" w:hAnsi="" w:cs="" w:eastAsia=""/>
          <w:sz w:val="20"/>
          <w:b w:val="off"/>
          <w:i w:val="on"/>
          <w:u w:val="none"/>
          <w:color w:val=""/>
        </w:rPr>
        <w:t xml:space="preserve"> 
Martin Lukáč – maliar, umelec v slobodnom povolaní. 
Absolvoval bakalársky stupeň v Ateliéri súčasného obrazu. Samostatné výstavy (výber): Se una Notte d’Inverno un Viaggiatore... (2018) The Court, Pescara, MacGyver (2017) Photoport Gallery, Bratislava, Two Hands and a Magnifying Glass (2016) Fait Gallery, Brno. No Love All Hate (2016) 35M2 Gallery, Praha. Skupinové výstavy (výber): Collectors Choice (2018) Eduardo Secci, Florence, Connected by the Hand (2018) Henie Onstand Kunstsenter, Oslo, Interpreter‘s Booth (with Anu Vahtra [2018]) Chimera — Project Gallery, Budapest, As if a Field Could Become Some Dream (2018) No Place Gallery, Ohio, Den Moderne Kunstalon at Vestijyllands Kunstpavillon (2018), Videbæk, 20 cm from the Ground (2018) L21, Palma di Mallorca, Paper Cuts (2018) Tripp Gallery, London, We are the Ones Volume I (2017) Carlsberg Byens Galleri&amp; Kunstsalon, Copenhagen. 
Lucia Dovičáková 
maliarka
v roku 2006 sa stala finalistkou Ceny Oskára Čepana, je viacnásobnou finalistkou súťaže VÚB Maľba, v roku 2011 sa stala laureátkou Nadácie Tatra Banky v kategórii Mladý tvorca, nominovaná bola za výstavu Márnosť desivá v Krokus Galérii. V posledných rokoch sa predstavila na výstavách v Kunsthalle LAB Bratislava (skupinová výstava Fem(inist) Fatale 2015), v galérii plusmínusnula Žilina (samostatná výstava Mammalia, 2015), v Galéria mesta Bratislavy (samostatná výstava mamama, 2014), vo Freies Museum Berlin (skupinová výstava Zero Years, 2013), v Slovenskej národnej galérii (skupinová výstava Krv, 2012).
</w:t>
      </w:r>
      <w:hyperlink r:id="rId16">
        <w:r>
          <w:rPr>
            <w:rFonts w:ascii="" w:hAnsi="" w:cs="" w:eastAsia=""/>
            <w:sz w:val="20"/>
            <w:b w:val="off"/>
            <w:i w:val="on"/>
            <w:u w:val="single"/>
            <w:color w:val="0000FF"/>
          </w:rPr>
          <w:t>https://secondaryarchive.org/artists/lucia-dovicakova/</w:t>
          <w:br/>
        </w:r>
      </w:hyperlink>
      <w:r>
        <w:rPr>
          <w:rFonts w:ascii="" w:hAnsi="" w:cs="" w:eastAsia=""/>
          <w:sz w:val="20"/>
          <w:b w:val="off"/>
          <w:i w:val="on"/>
          <w:u w:val="none"/>
          <w:color w:val=""/>
        </w:rPr>
        <w:t xml:space="preserve">
</w:t>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Hodnotenie absolventov odboru umenie partnerom ŠUV Košice:
</w:t>
      </w:r>
      <w:hyperlink r:id="rId17">
        <w:r>
          <w:rPr>
            <w:rFonts w:ascii="" w:hAnsi="" w:cs="" w:eastAsia=""/>
            <w:sz w:val="20"/>
            <w:b w:val="off"/>
            <w:i w:val="on"/>
            <w:u w:val="single"/>
            <w:color w:val="0000FF"/>
          </w:rPr>
          <w:t>https://dusan.such.website.tuke.sk/nextcloud/index.php/s/5o6jQdsNp8KSTkd</w:t>
          <w:br/>
        </w:r>
      </w:hyperlink>
      <w:r>
        <w:rPr>
          <w:rFonts w:ascii="" w:hAnsi="" w:cs="" w:eastAsia=""/>
          <w:sz w:val="20"/>
          <w:b w:val="off"/>
          <w:i w:val="on"/>
          <w:u w:val="none"/>
          <w:color w:val=""/>
        </w:rPr>
        <w:t xml:space="preserve">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8">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9">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20">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21">
        <w:r>
          <w:rPr>
            <w:rFonts w:ascii="" w:hAnsi="" w:cs="" w:eastAsia=""/>
            <w:sz w:val="20"/>
            <w:b w:val="off"/>
            <w:i w:val="off"/>
            <w:u w:val="single"/>
            <w:color w:val="0000FF"/>
          </w:rPr>
          <w:t>https://maisportal.tuke.sk/portal/studijneProgramy.mais?spsId=49669442&amp;arksId=47507289&amp;fakultaId=6881&amp;lang=sk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2">
        <w:r>
          <w:rPr>
            <w:rFonts w:ascii="" w:hAnsi="" w:cs="" w:eastAsia=""/>
            <w:sz w:val="20"/>
            <w:b w:val="off"/>
            <w:i w:val="off"/>
            <w:u w:val="single"/>
            <w:color w:val="0000FF"/>
          </w:rPr>
          <w:t>https://maisportal.tuke.sk/portal/studijneProgramy.mais?spsId=49669442&amp;arksId=47507289&amp;fakultaId=6881&amp;lang=sk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3">
        <w:r>
          <w:rPr>
            <w:rFonts w:ascii="" w:hAnsi="" w:cs="" w:eastAsia=""/>
            <w:sz w:val="20"/>
            <w:b w:val="off"/>
            <w:i w:val="off"/>
            <w:u w:val="single"/>
            <w:color w:val="0000FF"/>
          </w:rPr>
          <w:t>https://fu.tuke.sk/wps/portal/fu/studium/casovy-harmonogram-studia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PhDr. Peter Rónai, akad. mal.,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peter.ronai@tuke.sk,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+421 55 6022635</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PhDr. Peter Rónai, akad. mal., peter.ronai@tuke.sk, +421 55 6022635</w:t>
        <w:br/>
        <w:t xml:space="preserve">          doc. Mgr. art. Oto Hudec, ArtD., oto.hudec.2@tuke.sk, ${guarantee.phone}</w:t>
        <w:br/>
        <w:t xml:space="preserve">          doc. Mgr. art. Ing. Richard Kitta, ArtD., richard.kitta@tuke.sk, +421 55 6022176</w:t>
        <w:br/>
        <w:t xml:space="preserve">          doc. MgA. Svetlana Fialová, ArtD., svetlana.fialova@tuke.sk, ${guarantee.phone}</w:t>
        <w:br/>
        <w:t xml:space="preserve">          doc. PaedDr. Mgr. art. Boris Vaitovič, ArtD., boris.vaitovic@tuke.sk, +421 55 6022635</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PhDr. Peter Rónai, akad. mal., </w:t>
      </w:r>
      <w:hyperlink r:id="rId24">
        <w:r>
          <w:rPr>
            <w:rFonts w:ascii="" w:hAnsi="" w:cs="" w:eastAsia=""/>
            <w:sz w:val="20"/>
            <w:b w:val="off"/>
            <w:i w:val="on"/>
            <w:u w:val="single"/>
            <w:color w:val="0000FF"/>
          </w:rPr>
          <w:t>https://res.tuke.sk/api/vupch/62166/export</w:t>
          <w:br/>
        </w:r>
      </w:hyperlink>
      <w:r>
        <w:rPr>
          <w:rFonts w:ascii="" w:hAnsi="" w:cs="" w:eastAsia=""/>
          <w:sz w:val="20"/>
          <w:b w:val="off"/>
          <w:i w:val="on"/>
          <w:u w:val="none"/>
          <w:color w:val=""/>
        </w:rPr>
        <w:t xml:space="preserve">
doc. Mgr. art. Oto Hudec, ArtD., </w:t>
      </w:r>
      <w:hyperlink r:id="rId25">
        <w:r>
          <w:rPr>
            <w:rFonts w:ascii="" w:hAnsi="" w:cs="" w:eastAsia=""/>
            <w:sz w:val="20"/>
            <w:b w:val="off"/>
            <w:i w:val="on"/>
            <w:u w:val="single"/>
            <w:color w:val="0000FF"/>
          </w:rPr>
          <w:t>https://res.tuke.sk/api/vupch/11123/export</w:t>
          <w:br/>
        </w:r>
      </w:hyperlink>
      <w:r>
        <w:rPr>
          <w:rFonts w:ascii="" w:hAnsi="" w:cs="" w:eastAsia=""/>
          <w:sz w:val="20"/>
          <w:b w:val="off"/>
          <w:i w:val="on"/>
          <w:u w:val="none"/>
          <w:color w:val=""/>
        </w:rPr>
        <w:t xml:space="preserve">
doc. Mgr. art. Ing. Richard Kitta, ArtD., </w:t>
      </w:r>
      <w:hyperlink r:id="rId26">
        <w:r>
          <w:rPr>
            <w:rFonts w:ascii="" w:hAnsi="" w:cs="" w:eastAsia=""/>
            <w:sz w:val="20"/>
            <w:b w:val="off"/>
            <w:i w:val="on"/>
            <w:u w:val="single"/>
            <w:color w:val="0000FF"/>
          </w:rPr>
          <w:t>https://res.tuke.sk/api/vupch/26099/export</w:t>
          <w:br/>
        </w:r>
      </w:hyperlink>
      <w:r>
        <w:rPr>
          <w:rFonts w:ascii="" w:hAnsi="" w:cs="" w:eastAsia=""/>
          <w:sz w:val="20"/>
          <w:b w:val="off"/>
          <w:i w:val="on"/>
          <w:u w:val="none"/>
          <w:color w:val=""/>
        </w:rPr>
        <w:t xml:space="preserve">
doc. MgA. Svetlana Fialová, ArtD., </w:t>
      </w:r>
      <w:hyperlink r:id="rId27">
        <w:r>
          <w:rPr>
            <w:rFonts w:ascii="" w:hAnsi="" w:cs="" w:eastAsia=""/>
            <w:sz w:val="20"/>
            <w:b w:val="off"/>
            <w:i w:val="on"/>
            <w:u w:val="single"/>
            <w:color w:val="0000FF"/>
          </w:rPr>
          <w:t>https://res.tuke.sk/api/vupch/7253/export</w:t>
          <w:br/>
        </w:r>
      </w:hyperlink>
      <w:r>
        <w:rPr>
          <w:rFonts w:ascii="" w:hAnsi="" w:cs="" w:eastAsia=""/>
          <w:sz w:val="20"/>
          <w:b w:val="off"/>
          <w:i w:val="on"/>
          <w:u w:val="none"/>
          <w:color w:val=""/>
        </w:rPr>
        <w:t xml:space="preserve">
doc. PaedDr. Mgr. art. Boris Vaitovič, ArtD., </w:t>
      </w:r>
      <w:hyperlink r:id="rId28">
        <w:r>
          <w:rPr>
            <w:rFonts w:ascii="" w:hAnsi="" w:cs="" w:eastAsia=""/>
            <w:sz w:val="20"/>
            <w:b w:val="off"/>
            <w:i w:val="on"/>
            <w:u w:val="single"/>
            <w:color w:val="0000FF"/>
          </w:rPr>
          <w:t>https://res.tuke.sk/api/vupch/3149/export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9">
        <w:r>
          <w:rPr>
            <w:rFonts w:ascii="" w:hAnsi="" w:cs="" w:eastAsia=""/>
            <w:sz w:val="20"/>
            <w:b w:val="off"/>
            <w:i w:val="off"/>
            <w:u w:val="single"/>
            <w:color w:val="0000FF"/>
          </w:rPr>
          <w:t>https://maisportal.tuke.sk/portal/studijneProgramy.mais?spsId=49669442&amp;arksId=47507289&amp;fakultaId=6881&amp;lang=sk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30">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Martin  Bubelínyi, mato.bubelinyi@gmail.com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MgA. Svetlana Fialová, ArtD.,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svetlana.fialova@tuke.sk,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$model.sp.studyAdvisor.phone</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31">
        <w:r>
          <w:rPr>
            <w:rFonts w:ascii="" w:hAnsi="" w:cs="" w:eastAsia=""/>
            <w:sz w:val="20"/>
            <w:b w:val="off"/>
            <w:i w:val="off"/>
            <w:u w:val="single"/>
            <w:color w:val="0000FF"/>
          </w:rPr>
          <w:t>https://fu.tuke.sk/wps/portal/fu/kontakt/studijne-oddelenie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Fakulta umení TU v Košiciach disponuje v súčasnosti touto priestorovou infraštruktúrou: 
1) Hlavná budova v areáli TU v Košiciach na ul. Watsonova č. 4 (W4) 
2) Priestory v budovách areálu TU v Košiciach na ul. Vysokoškolská č. 4 (V4) 
Fakulta umení TU v Košiciach disponuje priestormi, ktoré sú určené na odb. prednášky, semináre, cvičenia a ateliérovú tvorbu: 
1) Poslucháreň F13 / W4-1. poschodie: Projekčná a prezentačná technika, interaktívna tabuľa, prezentačný PC s príslušným softvérom (SW) s pripojením na internet. Kapacita 60 miest. 
2) Poslucháreň W2 / W4-prízemie: Projekčná a prezentačná technika. Kapacita 30 miest. 
3) Ateliér (8x) / W4-2. poschodie: Projekčná technika, prezentačný PC s príslušným softvérom (SW) s pripojením na internet. Kapacita 16 miest. 
4) Kresliareň ZP / 1. poschodie: Projekčná technika, maliarske stojany, maliarske lavičky. Kapacita 30 miest. 
5) Modelárske dielne / V4-suterén: priestorové a technologické vybavenie na spracovanie dreva, plastu a povrchové úpravy, modelovanie modelov v mierke, modeláreň, sádrovňa a lamináreň. 
6) ROBLab / W4-suterén: </w:t>
      </w:r>
      <w:hyperlink r:id="rId32">
        <w:r>
          <w:rPr>
            <w:rFonts w:ascii="" w:hAnsi="" w:cs="" w:eastAsia=""/>
            <w:sz w:val="20"/>
            <w:b w:val="off"/>
            <w:i w:val="on"/>
            <w:u w:val="single"/>
            <w:color w:val="0000FF"/>
          </w:rPr>
          <w:t>https://roblab.ka.fu.tuke.sk</w:t>
          <w:br/>
        </w:r>
      </w:hyperlink>
      <w:r>
        <w:rPr>
          <w:rFonts w:ascii="" w:hAnsi="" w:cs="" w:eastAsia=""/>
          <w:sz w:val="20"/>
          <w:b w:val="off"/>
          <w:i w:val="on"/>
          <w:u w:val="none"/>
          <w:color w:val=""/>
        </w:rPr>
        <w:t xml:space="preserve"> 
Ďalší podrobný rozpis miestností: </w:t>
      </w:r>
      <w:hyperlink r:id="rId33">
        <w:r>
          <w:rPr>
            <w:rFonts w:ascii="" w:hAnsi="" w:cs="" w:eastAsia=""/>
            <w:sz w:val="20"/>
            <w:b w:val="off"/>
            <w:i w:val="on"/>
            <w:u w:val="single"/>
            <w:color w:val="0000FF"/>
          </w:rPr>
          <w:t>https://maisportal.tuke</w:t>
          <w:br/>
        </w:r>
      </w:hyperlink>
      <w:r>
        <w:rPr>
          <w:rFonts w:ascii="" w:hAnsi="" w:cs="" w:eastAsia=""/>
          <w:sz w:val="20"/>
          <w:b w:val="off"/>
          <w:i w:val="on"/>
          <w:u w:val="none"/>
          <w:color w:val=""/>
        </w:rPr>
        <w:t xml:space="preserve"> 
Pre úspešné absolvovanie Bc. štúdia na KVUaI sú k dispozícii nasledovné priestory: 
</w:t>
      </w:r>
      <w:hyperlink r:id="rId34">
        <w:r>
          <w:rPr>
            <w:rFonts w:ascii="" w:hAnsi="" w:cs="" w:eastAsia=""/>
            <w:sz w:val="20"/>
            <w:b w:val="off"/>
            <w:i w:val="on"/>
            <w:u w:val="single"/>
            <w:color w:val="0000FF"/>
          </w:rPr>
          <w:t>https://dusan.such.website.tuke.sk/nextcloud/index.php/s/ZsndRLbMrZaJtJM</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FU TUKE majú pre svoje štúdium k dispozícii postačujúce informačné zabezpečenie predovšetkým prostredníctvom Univerzitnej knižnice TUKE a Fakultnej knižnice FU TUKE. Knižničné služby sústredené v Univerzitnej knižnici (UK)Technickej univerzity v Košiciach,  zahrňujú všetky činnosti od vyhľadávania v knižničnom fonde cez vyhľadávanie informácií v on-line katalógu a dostupných databázach (WoS, Scopus, Springer Link a pod.), až po sprístupnenie konkrétnych dokumentov v tlačovej alebo elektronickej forme vo fonde UK TUKE (celkový počet dokumentov je 186966, z toho 64228 kníh, 40046 učebníc, 7779 zborníkov, 6341 zviazaných periodík, 7718 elektronických dokumentov, 31846 záverečných a kvalifikačných prác). UK tiež poskytuje: výpožičné služby; konzultačné slu
Fakultná knižnica FU TUKE sídli v budove fakulty na Watsonovej ulici č. 4. Zameriava sa na sprostredkovávanie prístupu najmä k súčasnej odbornej literatúre, relevantnej pre povinné a povinne voliteľné predmety vyučované fakultou, vrátane teoretických predmetov z oblasti dejín a teórie výtvarného umenia, súčasnej estetiky a filozofie. 
</w:t>
      </w:r>
      <w:hyperlink r:id="rId35">
        <w:r>
          <w:rPr>
            <w:rFonts w:ascii="" w:hAnsi="" w:cs="" w:eastAsia=""/>
            <w:sz w:val="20"/>
            <w:b w:val="off"/>
            <w:i w:val="on"/>
            <w:u w:val="single"/>
            <w:color w:val="0000FF"/>
          </w:rPr>
          <w:t>http://www.lib.tuke.sk/</w:t>
          <w:br/>
        </w:r>
      </w:hyperlink>
      <w:r>
        <w:rPr>
          <w:rFonts w:ascii="" w:hAnsi="" w:cs="" w:eastAsia=""/>
          <w:sz w:val="20"/>
          <w:b w:val="off"/>
          <w:i w:val="on"/>
          <w:u w:val="none"/>
          <w:color w:val=""/>
        </w:rPr>
        <w:t xml:space="preserve">
Digitálna knižnica UK: 
</w:t>
      </w:r>
      <w:hyperlink r:id="rId36">
        <w:r>
          <w:rPr>
            <w:rFonts w:ascii="" w:hAnsi="" w:cs="" w:eastAsia=""/>
            <w:sz w:val="20"/>
            <w:b w:val="off"/>
            <w:i w:val="on"/>
            <w:u w:val="single"/>
            <w:color w:val="0000FF"/>
          </w:rPr>
          <w:t>http://www.lib.tuke.sk/?page=ezdroje</w:t>
          <w:br/>
        </w:r>
      </w:hyperlink>
      <w:r>
        <w:rPr>
          <w:rFonts w:ascii="" w:hAnsi="" w:cs="" w:eastAsia=""/>
          <w:sz w:val="20"/>
          <w:b w:val="off"/>
          <w:i w:val="on"/>
          <w:u w:val="none"/>
          <w:color w:val=""/>
        </w:rPr>
        <w:t xml:space="preserve">
Fakultná knižnica disponuje vyše dvoma tisíckami publikácií z oblasti dejín a teórie umenia, ale aj estetiky a filozofie.
</w:t>
      </w:r>
      <w:hyperlink r:id="rId37">
        <w:r>
          <w:rPr>
            <w:rFonts w:ascii="" w:hAnsi="" w:cs="" w:eastAsia=""/>
            <w:sz w:val="20"/>
            <w:b w:val="off"/>
            <w:i w:val="on"/>
            <w:u w:val="single"/>
            <w:color w:val="0000FF"/>
          </w:rPr>
          <w:t>https://dusan.such.website.tuke.sk/nextcloud/index.php/s/LfDQo9WCsBpAdZR</w:t>
          <w:br/>
        </w:r>
      </w:hyperlink>
      <w:r>
        <w:rPr>
          <w:rFonts w:ascii="" w:hAnsi="" w:cs="" w:eastAsia=""/>
          <w:sz w:val="20"/>
          <w:b w:val="off"/>
          <w:i w:val="on"/>
          <w:u w:val="none"/>
          <w:color w:val=""/>
        </w:rPr>
        <w:t xml:space="preserve">
Študenti FU TUKE majú k dispozícii aj ďalšie knižničné služby:
    • Štátna vedecká knižnica v Košiciach
</w:t>
      </w:r>
      <w:hyperlink r:id="rId38">
        <w:r>
          <w:rPr>
            <w:rFonts w:ascii="" w:hAnsi="" w:cs="" w:eastAsia=""/>
            <w:sz w:val="20"/>
            <w:b w:val="off"/>
            <w:i w:val="on"/>
            <w:u w:val="single"/>
            <w:color w:val="0000FF"/>
          </w:rPr>
          <w:t>https://www.svkk.sk/en/faq2.html</w:t>
          <w:br/>
        </w:r>
      </w:hyperlink>
      <w:r>
        <w:rPr>
          <w:rFonts w:ascii="" w:hAnsi="" w:cs="" w:eastAsia=""/>
          <w:sz w:val="20"/>
          <w:b w:val="off"/>
          <w:i w:val="on"/>
          <w:u w:val="none"/>
          <w:color w:val=""/>
        </w:rPr>
        <w:t xml:space="preserve">
    • Verejná knižnica Jána Bocatia v Košiciach
</w:t>
      </w:r>
      <w:hyperlink r:id="rId39">
        <w:r>
          <w:rPr>
            <w:rFonts w:ascii="" w:hAnsi="" w:cs="" w:eastAsia=""/>
            <w:sz w:val="20"/>
            <w:b w:val="off"/>
            <w:i w:val="on"/>
            <w:u w:val="single"/>
            <w:color w:val="0000FF"/>
          </w:rPr>
          <w:t>https://vkjb.sk</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V študijnom programe sa táto forma využíva ako náhradný vyučovací program. V prípade výnimočnej (napr. pandemickej) situácie prostredníctvom oficiálnej integrovanej online platformy Webex: </w:t>
        <w:br/>
        <w:t>www.tuke.webex.com</w:t>
        <w:br/>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Online prístup k e-learningu v rámci Fakulty umení TUKE: </w:t>
      </w:r>
      <w:hyperlink r:id="rId40">
        <w:r>
          <w:rPr>
            <w:rFonts w:ascii="" w:hAnsi="" w:cs="" w:eastAsia=""/>
            <w:sz w:val="20"/>
            <w:b w:val="off"/>
            <w:i w:val="on"/>
            <w:u w:val="single"/>
            <w:color w:val="0000FF"/>
          </w:rPr>
          <w:t>https://moodle.tuke.sk/moodle/course/index.php?categoryid=21</w:t>
          <w:br/>
        </w:r>
      </w:hyperlink>
      <w:r>
        <w:rPr>
          <w:rFonts w:ascii="" w:hAnsi="" w:cs="" w:eastAsia=""/>
          <w:sz w:val="20"/>
          <w:b w:val="off"/>
          <w:i w:val="on"/>
          <w:u w:val="none"/>
          <w:color w:val=""/>
        </w:rPr>
        <w:t xml:space="preserve">  
Nástenka TUKE: </w:t>
      </w:r>
      <w:hyperlink r:id="rId41">
        <w:r>
          <w:rPr>
            <w:rFonts w:ascii="" w:hAnsi="" w:cs="" w:eastAsia=""/>
            <w:sz w:val="20"/>
            <w:b w:val="off"/>
            <w:i w:val="on"/>
            <w:u w:val="single"/>
            <w:color w:val="0000FF"/>
          </w:rPr>
          <w:t>https://moodle.tuke.sk/moodle/my/</w:t>
          <w:br/>
        </w:r>
      </w:hyperlink>
      <w:r>
        <w:rPr>
          <w:rFonts w:ascii="" w:hAnsi="" w:cs="" w:eastAsia=""/>
          <w:sz w:val="20"/>
          <w:b w:val="off"/>
          <w:i w:val="on"/>
          <w:u w:val="none"/>
          <w:color w:val=""/>
        </w:rPr>
        <w:t xml:space="preserve"> 
Ďalšie online kurzy prebiehajú prostredníctvom integrovanej oficiálnej platformy Webex (TUKE): www.tuke.webex.com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V prípade prechodu z prezenčného vzdelávania na dištančné sa postupuje podľa organizačných pokynov vydaných rektorom TUKE a dekanom FU TUKE: 
</w:t>
      </w:r>
      <w:hyperlink r:id="rId42">
        <w:r>
          <w:rPr>
            <w:rFonts w:ascii="" w:hAnsi="" w:cs="" w:eastAsia=""/>
            <w:sz w:val="20"/>
            <w:b w:val="off"/>
            <w:i w:val="on"/>
            <w:u w:val="single"/>
            <w:color w:val="0000FF"/>
          </w:rPr>
          <w:t>https://tuke.sk/wps/portal/tuke/university/news/koronavirus</w:t>
          <w:br/>
        </w:r>
      </w:hyperlink>
      <w:r>
        <w:rPr>
          <w:rFonts w:ascii="" w:hAnsi="" w:cs="" w:eastAsia=""/>
          <w:sz w:val="20"/>
          <w:b w:val="off"/>
          <w:i w:val="on"/>
          <w:u w:val="none"/>
          <w:color w:val=""/>
        </w:rPr>
        <w:t xml:space="preserve">
</w:t>
      </w:r>
      <w:hyperlink r:id="rId43">
        <w:r>
          <w:rPr>
            <w:rFonts w:ascii="" w:hAnsi="" w:cs="" w:eastAsia=""/>
            <w:sz w:val="20"/>
            <w:b w:val="off"/>
            <w:i w:val="on"/>
            <w:u w:val="single"/>
            <w:color w:val="0000FF"/>
          </w:rPr>
          <w:t>https://fu.tuke.sk/wps/portal/fu/fakulta/aktuality/opatrenia-na-fu-tuke-pre-ak-rok-2021-2022</w:t>
          <w:br/>
        </w:r>
      </w:hyperlink>
      <w:r>
        <w:rPr>
          <w:rFonts w:ascii="" w:hAnsi="" w:cs="" w:eastAsia=""/>
          <w:sz w:val="20"/>
          <w:b w:val="off"/>
          <w:i w:val="on"/>
          <w:u w:val="none"/>
          <w:color w:val=""/>
        </w:rPr>
        <w:t xml:space="preserv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Partneri Fakulty umení TUKE: 
K13 – Košické kultúrne centrá 
Kunsthalle / Hala umenia (K13), Košice 
SPOTs (K13) Košice 
Tabačka Kulturfabrik, Košice 
CIKE – Creative industry Košice 
MAO (Media Art Office), Košice  
Mesto Košice 
Košický samosprávny kraj 
UVP Technicom – Technická univerzita v Košiciach
Campus gallery (FU TUKE) 
Východoslovenská galéria, Košice 
Múzeum Vojtecha Löfflera, Košice 
Múzeum moderného umenia Andyho Warhola v Medzilaborciach
DIG gallery, Košice 
Street Art Communication (SAC), Košice 
VUNU gallery, Košice 
Kotolňa – art space, Košice 
Koniareň, Trebišov 
Galéria Medium VŠVU, Bratislava
Nitrianska galéria, Nitra 
Považská galéria umenia v Žiline 
Stredoslovenská galéria v Banskej Bystrici 
Partneri medzinárodného projektu Ulysseus (TUKE) 
Vysoká škola výtvarných umení v Bratislave 
Akadémia umení v Banskej Bystrici 
Škola umeleckého priemyslu Košice 
Akadémia výtvarných umení v Prahe, Česká republika 
Fakulta výtvarných umení VUT v Brne, Česká republika 
ASP Katowice, Poľsko 
a ďalší 
Zoznam zmluvných partnerov Fakulty umení TUKE: 
</w:t>
      </w:r>
      <w:hyperlink r:id="rId44">
        <w:r>
          <w:rPr>
            <w:rFonts w:ascii="" w:hAnsi="" w:cs="" w:eastAsia=""/>
            <w:sz w:val="20"/>
            <w:b w:val="off"/>
            <w:i w:val="on"/>
            <w:u w:val="single"/>
            <w:color w:val="0000FF"/>
          </w:rPr>
          <w:t>https://dusan.such.website.tuke.sk/nextcloud/index.php/s/keBcpyjFbAFyHWm</w:t>
          <w:br/>
        </w:r>
      </w:hyperlink>
      <w:r>
        <w:rPr>
          <w:rFonts w:ascii="" w:hAnsi="" w:cs="" w:eastAsia=""/>
          <w:sz w:val="20"/>
          <w:b w:val="off"/>
          <w:i w:val="on"/>
          <w:u w:val="none"/>
          <w:color w:val=""/>
        </w:rPr>
        <w:t xml:space="preserve">
Formuláre TUKE pre partnerov: 
</w:t>
      </w:r>
      <w:hyperlink r:id="rId45">
        <w:r>
          <w:rPr>
            <w:rFonts w:ascii="" w:hAnsi="" w:cs="" w:eastAsia=""/>
            <w:sz w:val="20"/>
            <w:b w:val="off"/>
            <w:i w:val="on"/>
            <w:u w:val="single"/>
            <w:color w:val="0000FF"/>
          </w:rPr>
          <w:t>https://dusan.such.website.tuke.sk/nextcloud/index.php/s/LAQ6m33kzAeajEr</w:t>
          <w:br/>
        </w:r>
      </w:hyperlink>
      <w:r>
        <w:rPr>
          <w:rFonts w:ascii="" w:hAnsi="" w:cs="" w:eastAsia=""/>
          <w:sz w:val="20"/>
          <w:b w:val="off"/>
          <w:i w:val="on"/>
          <w:u w:val="none"/>
          <w:color w:val=""/>
        </w:rPr>
        <w:t xml:space="preserve">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9">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0">
        <w:r>
          <w:rPr>
            <w:rFonts w:ascii="" w:hAnsi="" w:cs="" w:eastAsia=""/>
            <w:sz w:val="20"/>
            <w:b w:val="off"/>
            <w:i w:val="off"/>
            <w:u w:val="single"/>
            <w:color w:val="0000FF"/>
          </w:rPr>
          <w:t>https://fu.tuke.sk/wps/wcm/connect/fu.tuke.sk20140/28d79866-fa0b-427d-8753-70f7c9441c18/podmienky_prijatia_na_i_stupen_pre_ak_r_+2022_2023.pdf?MOD=AJPERES&amp;CVID=nEZCVqE</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1">
        <w:r>
          <w:rPr>
            <w:rFonts w:ascii="" w:hAnsi="" w:cs="" w:eastAsia=""/>
            <w:sz w:val="20"/>
            <w:b w:val="off"/>
            <w:i w:val="off"/>
            <w:u w:val="single"/>
            <w:color w:val="0000FF"/>
          </w:rPr>
          <w:t>https://fu.tuke.sk/wps/wcm/connect/fu.tuke.sk20140/28d79866-fa0b-427d-8753-70f7c9441c18/podmienky_prijatia_na_i_stupen_pre_ak_r_+2022_2023.pdf?MOD=AJPERES&amp;CVID=nEZCVqE</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2">
        <w:r>
          <w:rPr>
            <w:rFonts w:ascii="" w:hAnsi="" w:cs="" w:eastAsia=""/>
            <w:sz w:val="20"/>
            <w:b w:val="off"/>
            <w:i w:val="off"/>
            <w:u w:val="single"/>
            <w:color w:val="0000FF"/>
          </w:rPr>
          <w:t>https://fu.tuke.sk/wps/wcm/connect/fu.tuke.sk20140/f42525e4-d534-43ea-8c89-2790b49cbe75/oznam_o_vysledku_prijimacieho_konania_bc_dizajn_+2022_2023_+na+zverejnenie.pdf?MOD=AJPERES&amp;CVID=nYsnAyu</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3">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4">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5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56">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5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8">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90000&amp;field=8216R04&amp;year=2018" TargetMode="External" Type="http://schemas.openxmlformats.org/officeDocument/2006/relationships/hyperlink"/><Relationship Id="rId14" Target="https://uplatnenie.sk/?degree=V%C5%A0&amp;vs=709000000&amp;faculty=709090000&amp;field=8216R04&amp;year=2019" TargetMode="External" Type="http://schemas.openxmlformats.org/officeDocument/2006/relationships/hyperlink"/><Relationship Id="rId15" Target="https://www.vut.cz/lide/katarina-hladekova-121986" TargetMode="External" Type="http://schemas.openxmlformats.org/officeDocument/2006/relationships/hyperlink"/><Relationship Id="rId16" Target="https://secondaryarchive.org/artists/lucia-dovicakova/" TargetMode="External" Type="http://schemas.openxmlformats.org/officeDocument/2006/relationships/hyperlink"/><Relationship Id="rId17" Target="https://dusan.such.website.tuke.sk/nextcloud/index.php/s/5o6jQdsNp8KSTkd" TargetMode="External" Type="http://schemas.openxmlformats.org/officeDocument/2006/relationships/hyperlink"/><Relationship Id="rId18" Target="https://tuke.sk/wps/portal/tuke/university/vnutorny-system-kvality/studijne-programy" TargetMode="External" Type="http://schemas.openxmlformats.org/officeDocument/2006/relationships/hyperlink"/><Relationship Id="rId19" Target="https://tuke.sk/wps/portal/tuke/university/legislativa-univerzity/interne-predpisy-a-smernice" TargetMode="External" Type="http://schemas.openxmlformats.org/officeDocument/2006/relationships/hyperlink"/><Relationship Id="rId2" Target="numbering.xml" Type="http://schemas.openxmlformats.org/officeDocument/2006/relationships/numbering"/><Relationship Id="rId20" Target="https://legislativa.tuke.sk/legislativa" TargetMode="External" Type="http://schemas.openxmlformats.org/officeDocument/2006/relationships/hyperlink"/><Relationship Id="rId21" Target="https://maisportal.tuke.sk/portal/studijneProgramy.mais?spsId=49669442&amp;arksId=47507289&amp;fakultaId=6881&amp;lang=sk" TargetMode="External" Type="http://schemas.openxmlformats.org/officeDocument/2006/relationships/hyperlink"/><Relationship Id="rId22" Target="https://maisportal.tuke.sk/portal/studijneProgramy.mais?spsId=49669442&amp;arksId=47507289&amp;fakultaId=6881&amp;lang=sk" TargetMode="External" Type="http://schemas.openxmlformats.org/officeDocument/2006/relationships/hyperlink"/><Relationship Id="rId23" Target="https://fu.tuke.sk/wps/portal/fu/studium/casovy-harmonogram-studia" TargetMode="External" Type="http://schemas.openxmlformats.org/officeDocument/2006/relationships/hyperlink"/><Relationship Id="rId24" Target="https://res.tuke.sk/api/vupch/62166/export" TargetMode="External" Type="http://schemas.openxmlformats.org/officeDocument/2006/relationships/hyperlink"/><Relationship Id="rId25" Target="https://res.tuke.sk/api/vupch/11123/export" TargetMode="External" Type="http://schemas.openxmlformats.org/officeDocument/2006/relationships/hyperlink"/><Relationship Id="rId26" Target="https://res.tuke.sk/api/vupch/26099/export" TargetMode="External" Type="http://schemas.openxmlformats.org/officeDocument/2006/relationships/hyperlink"/><Relationship Id="rId27" Target="https://res.tuke.sk/api/vupch/7253/export" TargetMode="External" Type="http://schemas.openxmlformats.org/officeDocument/2006/relationships/hyperlink"/><Relationship Id="rId28" Target="https://res.tuke.sk/api/vupch/3149/export" TargetMode="External" Type="http://schemas.openxmlformats.org/officeDocument/2006/relationships/hyperlink"/><Relationship Id="rId29" Target="https://maisportal.tuke.sk/portal/studijneProgramy.mais?spsId=49669442&amp;arksId=47507289&amp;fakultaId=6881&amp;lang=sk" TargetMode="External" Type="http://schemas.openxmlformats.org/officeDocument/2006/relationships/hyperlink"/><Relationship Id="rId3" Target="styles.xml" Type="http://schemas.openxmlformats.org/officeDocument/2006/relationships/styles"/><Relationship Id="rId30" Target="https://at.tuke.sk" TargetMode="External" Type="http://schemas.openxmlformats.org/officeDocument/2006/relationships/hyperlink"/><Relationship Id="rId31" Target="https://fu.tuke.sk/wps/portal/fu/kontakt/studijne-oddelenie" TargetMode="External" Type="http://schemas.openxmlformats.org/officeDocument/2006/relationships/hyperlink"/><Relationship Id="rId32" Target="https://roblab.ka.fu.tuke.sk" TargetMode="External" Type="http://schemas.openxmlformats.org/officeDocument/2006/relationships/hyperlink"/><Relationship Id="rId33" Target="https://maisportal.tuke" TargetMode="External" Type="http://schemas.openxmlformats.org/officeDocument/2006/relationships/hyperlink"/><Relationship Id="rId34" Target="https://dusan.such.website.tuke.sk/nextcloud/index.php/s/ZsndRLbMrZaJtJM" TargetMode="External" Type="http://schemas.openxmlformats.org/officeDocument/2006/relationships/hyperlink"/><Relationship Id="rId35" Target="http://www.lib.tuke.sk/" TargetMode="External" Type="http://schemas.openxmlformats.org/officeDocument/2006/relationships/hyperlink"/><Relationship Id="rId36" Target="http://www.lib.tuke.sk/?page=ezdroje" TargetMode="External" Type="http://schemas.openxmlformats.org/officeDocument/2006/relationships/hyperlink"/><Relationship Id="rId37" Target="https://dusan.such.website.tuke.sk/nextcloud/index.php/s/LfDQo9WCsBpAdZR" TargetMode="External" Type="http://schemas.openxmlformats.org/officeDocument/2006/relationships/hyperlink"/><Relationship Id="rId38" Target="https://www.svkk.sk/en/faq2.html" TargetMode="External" Type="http://schemas.openxmlformats.org/officeDocument/2006/relationships/hyperlink"/><Relationship Id="rId39" Target="https://vkjb.sk" TargetMode="External" Type="http://schemas.openxmlformats.org/officeDocument/2006/relationships/hyperlink"/><Relationship Id="rId4" Target="settings.xml" Type="http://schemas.openxmlformats.org/officeDocument/2006/relationships/settings"/><Relationship Id="rId40" Target="https://moodle.tuke.sk/moodle/course/index.php?categoryid=21" TargetMode="External" Type="http://schemas.openxmlformats.org/officeDocument/2006/relationships/hyperlink"/><Relationship Id="rId41" Target="https://moodle.tuke.sk/moodle/my/" TargetMode="External" Type="http://schemas.openxmlformats.org/officeDocument/2006/relationships/hyperlink"/><Relationship Id="rId42" Target="https://tuke.sk/wps/portal/tuke/university/news/koronavirus" TargetMode="External" Type="http://schemas.openxmlformats.org/officeDocument/2006/relationships/hyperlink"/><Relationship Id="rId43" Target="https://fu.tuke.sk/wps/portal/fu/fakulta/aktuality/opatrenia-na-fu-tuke-pre-ak-rok-2021-2022" TargetMode="External" Type="http://schemas.openxmlformats.org/officeDocument/2006/relationships/hyperlink"/><Relationship Id="rId44" Target="https://dusan.such.website.tuke.sk/nextcloud/index.php/s/keBcpyjFbAFyHWm" TargetMode="External" Type="http://schemas.openxmlformats.org/officeDocument/2006/relationships/hyperlink"/><Relationship Id="rId45" Target="https://dusan.such.website.tuke.sk/nextcloud/index.php/s/LAQ6m33kzAeajEr" TargetMode="External" Type="http://schemas.openxmlformats.org/officeDocument/2006/relationships/hyperlink"/><Relationship Id="rId46" Target="https://studium.tuke.sk/wps/portal/studium/univerzita/info-boxy-texty/studentsky-zivot" TargetMode="External" Type="http://schemas.openxmlformats.org/officeDocument/2006/relationships/hyperlink"/><Relationship Id="rId47" Target="https://ktv.tuke.sk/wps/portal" TargetMode="External" Type="http://schemas.openxmlformats.org/officeDocument/2006/relationships/hyperlink"/><Relationship Id="rId48" Target="https://www.tuke.sk/wps/portal/tuke/university/usek-pre-zahranicne-vztahy/referat-mobilitnych-programov" TargetMode="External" Type="http://schemas.openxmlformats.org/officeDocument/2006/relationships/hyperlink"/><Relationship Id="rId49" Target="https://erasmus.tuke.sk" TargetMode="External" Type="http://schemas.openxmlformats.org/officeDocument/2006/relationships/hyperlink"/><Relationship Id="rId5" Target="webSettings.xml" Type="http://schemas.openxmlformats.org/officeDocument/2006/relationships/webSettings"/><Relationship Id="rId50" Target="https://fu.tuke.sk/wps/wcm/connect/fu.tuke.sk20140/28d79866-fa0b-427d-8753-70f7c9441c18/podmienky_prijatia_na_i_stupen_pre_ak_r_+2022_2023.pdf?MOD=AJPERES&amp;CVID=nEZCVqE" TargetMode="External" Type="http://schemas.openxmlformats.org/officeDocument/2006/relationships/hyperlink"/><Relationship Id="rId51" Target="https://fu.tuke.sk/wps/wcm/connect/fu.tuke.sk20140/28d79866-fa0b-427d-8753-70f7c9441c18/podmienky_prijatia_na_i_stupen_pre_ak_r_+2022_2023.pdf?MOD=AJPERES&amp;CVID=nEZCVqE" TargetMode="External" Type="http://schemas.openxmlformats.org/officeDocument/2006/relationships/hyperlink"/><Relationship Id="rId52" Target="https://fu.tuke.sk/wps/wcm/connect/fu.tuke.sk20140/f42525e4-d534-43ea-8c89-2790b49cbe75/oznam_o_vysledku_prijimacieho_konania_bc_dizajn_+2022_2023_+na+zverejnenie.pdf?MOD=AJPERES&amp;CVID=nYsnAyu" TargetMode="External" Type="http://schemas.openxmlformats.org/officeDocument/2006/relationships/hyperlink"/><Relationship Id="rId53" Target="https://legislativa.tuke.sk/legislativa/sekcia-pre-zamestnancov/organizacne-smernice/hlavne-procesy/h1-vzdelavanie/os_tuke_h1_01_vzdelavanie_vyd03.pdf/view" TargetMode="External" Type="http://schemas.openxmlformats.org/officeDocument/2006/relationships/hyperlink"/><Relationship Id="rId54" Target="https://www.tuke.sk/wps/portal/tuke/studies/studentske-ankety" TargetMode="External" Type="http://schemas.openxmlformats.org/officeDocument/2006/relationships/hyperlink"/><Relationship Id="rId55" Target="https://tuke.sk/wps/portal/tuke/university/vnutorny-system-kvality/studijne-programy" TargetMode="External" Type="http://schemas.openxmlformats.org/officeDocument/2006/relationships/hyperlink"/><Relationship Id="rId56" Target="https://www.tuke.sk/wps/portal/tuke/studies/legislativa-studia" TargetMode="External" Type="http://schemas.openxmlformats.org/officeDocument/2006/relationships/hyperlink"/><Relationship Id="rId57" Target="https://tuke.sk/wps/portal/tuke/university/legislativa-univerzity/interne-predpisy-a-smernice" TargetMode="External" Type="http://schemas.openxmlformats.org/officeDocument/2006/relationships/hyperlink"/><Relationship Id="rId58"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