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umení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voľné výtvarné umenie,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21091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2.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767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umenie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Mgr. art.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Absolventi magisterského študijného programu „Voľné výtvarné umenie“ v 2. stupni štúdia rozvíjajú svoje vedomosti a zručnosti, nadobudnuté už v bakalárskom štúdiu. Analyzujú najnovšie poznatky  z oblasti teórie umenia a aplikujú inovované metodologické postupy tvorby z pohľadu sociálnych a ekologických požiadaviek praxe. V procese tvorby sú schopný flexibilne reagovať na aktuálne dianie kultúrnej scény a integrovať vysokú estetickú vizuálnu hodnotu v unikátnom autorskom programe.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má byť samostatný, výtvarne aktívny a schopný definovať relevantné ciele výtvarnej práce v kontexte súčasného umenia v súlade so svojím umeleckým zameraním. Je schopný kriticky nahliadať na vlastnú tvorivú činnosť a konfrontovať sa s najnovšími poznatkami umenovedných disciplín s dôrazom na súčasné umenie a estetiku 20. a 21. storočia. Je schopný využívať technologické postupy, ktoré sú potrebné pre vytvorenie vlastného umeleckého diela. Rovnako je schopný definovať vlastné autorské postupy. Dokáže komunikovať výsledky vlastnej tvorivej činnosti prostredníctvom priameho kontaktu, a tiež sprostredkovane pomocou masmédií, internetu, sociálnych sietí a pod. </w:t>
        <w:br/>
        <w:t xml:space="preserve">Absolvent je v kontakte s kultúrnou komunitou a je súčasťou odbornej verejnosti. Ako umelec je aktívny vo výstavnej a prezentačnej činnosti, je schopný reagovať na rôzne spoločenské a kultúrno-umelecké výzvy, vrátane relevantných projektov a grantových príležitostí. Je pripravený na samostatnú autorskú výtvarnú činnosť, dokáže artikulovať a obhájiť svoju pozíciu na umeleckej (výtvarnej) scéne či v danom umeleckom kontexte. Disponuje vnútornou disciplínou a afinitou k dlhodobému a kontinuálnemu rozvoju vlastného výtvarného programu a autorskej stratégie. 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magisterského štúdia je schopný na profesionálnej úrovni definovať a riešiť výtvarné problémy autentickým a vizuálnym jazykom, kooperovať s ďalšími odborníkmi pri realizácii v architektúre (prípadne pedagogicky pôsobiť), a tak prispievať k formovaniu kultúrneho povedomia a k zvyšovaniu úrovne duchovnej a hmotnej výtvarnej kultúry v našom prostredí.Rozvíja a prehlbuje svoje vedomosti o umeleckých procesoch a teoretických východiskách tvorby alebo interpretácie umeleckého diela a jeho reflexie z hľadiska najnovších poznatkov, vedomostne je pripravený kriticky analyzovať a definovať problémy v danom druhu umenia, orientuje sa v mnohotvárnych podobách umeleckých druhov, médií a štýlov podľa zamerania štúdia a v jeho príbuzných odvetviach.</w:t>
        <w:br/>
        <w:t>Absolvent dokáže cieľavedome a samostatne hľadať a nachádzať produktívne podnety pre konštruovanie myšlienkových konceptov, je schopný realizovať alebo reštaurovať náročné umelecké diela alebo podávať umelecké výkony. Dokáže vo vlastnej tvorbe vedome uplatňovať experimentálne overené poznatky o pôsobnosti a účinnosti prostriedkov a postupov v súlade so svojím autorským zámerom vo všetkých fázach prípravy a realizácie umeleckého diela alebo interpretačného výkonu. Dokáže špecifikovať a navrhovať umelecky originálne a inovatívne riešenia a efektívne rozhodovať v súvislosti s výberom a použitím metód, techník a prostriedkov realizácie  alebo  reštaurovania  umeleckého  diela.   Prehlbuje  schopnosť  tvorivého  hľadania a objavovania súvislostí, nových pohľadov a umeleckých postupov, dokáže formulovať problematiku, voliť a obhájiť si vlastné riešenia.</w:t>
        <w:br/>
        <w:t>Absolvent je schopný identifikovať mechanizmy pre kontinuálny vlastný profesionálny vývoj, dokáže udržiavať kontakt s posledným vývojom vo svojej disciplíne, disponuje inovatívnym myslením, vie vo svojom odbore aplikovať najnovšie poznatky z oblasti vied a techniky a dokáže aktívne komunikovať o odbornej problematike v cudzom jazyku. Flexibilne reaguje a prezentuje svoje názory a stanoviská viažuce sa na problematiku príslušného druhu umenia. Preukazuje schopnosť analyticky, kriticky a koncepčne myslieť pri riešení špecifických problémov v danom druhu umenia s ohľadom na estetické, sémantické, etické a sociokultúrne požiadavky. Dokáže zabezpečiť praktické činnosti v danom umeleckom odbore po stránke technologickej, organizačnej a autorskoprávnej. Je schopný pôsobiť v oblasti formálneho a neformálneho umeleckého vzdelávania. Uvedomuje si hodnotové perspektívy svojej práce."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Výtvarný umelec inde neuvedený</w:t>
        <w:br/>
        <w:t xml:space="preserve">          Umelecký maliar 6</w:t>
        <w:br/>
        <w:t xml:space="preserve">          Umelecký sochár 6</w:t>
        <w:br/>
        <w:t xml:space="preserve">          Umelecký grafik</w:t>
        <w:br/>
        <w:t xml:space="preserve">          Multimediálny a intermediálny umelec</w:t>
        <w:br/>
        <w:t xml:space="preserve">          Umelecký fotograf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https://uplatnenie.sk/?degree=V%C5%A0&amp;vs=709000000&amp;faculty=709090000&amp;field=8216T04&amp;year=2018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10
Priemerná mzda: 816 eur
Polovica absolventov zarábala viac ako: 802 eur
TOP 3 odvetvia v ktorých absolventi pracovali:
- Veľkoobchod a maloobchod (33 %)
- Odborné, vedecké a technické činnosti (17 %)
- Vzdelávanie (17 %)
TOP 3 zamestnania v ktorých absolventi pracovali:
- Odborní pracovníci v oblasti umenia a kultúry (17 %)
- Špecialisti v oblasti reklamy a marketingu (17 %)
- Špecialisti v oblasti predaja (okrem informačných a komunikačných technológií) (17 %)
Zamestnaní: 60 %
Pracujúci na dohodu: 0 %
SZČO: 0 %
Na materskej dovolenke: 0 %
Nezamestnaní: 40 %
Pokračujúci v štúdiu: 0 %
Ostatní (pracujúci v zahraničí, dobrovoľne nezamestnaní): 0 %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https://uplatnenie.sk/?degree=V%C5%A0&amp;vs=709000000&amp;faculty=709090000&amp;field=8216T04&amp;year=2019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Počet absolventov: 11
Zamestnaní: 36 %
Pracujúci na dohodu: 18 %
SZČO: 18 %
Na materskej dovolenke: 0 %
Nezamestnaní: 9 %
Pokračujúci v štúdiu: 0 %
Ostatní (pracujúci v zahraničí, dobrovoľne nezamestnaní): 18 %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>Jaroslav Kyša – sochár, multimediálny umelec, vysokoškolský pedagóg (VŠVU, Bratislava). 
V rokoch 2000 – 2007 študoval na Fakulte umení TUKE (Ateliér slobodnej kreativity 3D). Ocenenia: Cena NOVUM nadácie 2017 víťaz, Cena NOVUM nadácia, finalista 2015, finalist, 2015 Brooklyn Langer residency, New York, USA, 2014 Finalista Ceny Oskára Čepana. Autorské výstavy (výber): 2020 Jaroslav Kyša a Richard Loskot: Tma představ, Meet Factory (Kostka Gallery), Praha, 2020 Order of Waves, Galéria Jána Koniareka Trnava, 2019 I was keeping it all safe for you, ZAHORIAN &amp; VAN ESPEN, Bratislava, 2018 See through your finger (s Jurajom Rattajom), Kunstraum SUPER, Viedeň, 2018 Fifth Force, ZAHORIAN &amp; VAN ESPEN, Praha. 
Viktor Feher – multimediálny umelec so zameraním na graffiti a street art, organizátor a kurátor medzinárodných umeleckých podujatí. 
V roku 2015 absolvoval štúdium na Fakulte umení TUKE (Ateliér nových médií). Pôsobí ako umelec v slobodnom povolaní, je riaditeľom kreatívneho štúdia Natreto. Je zakladateľ a organizátor medzinárodného festivalu Street Art Communication (SAC) v Košiciach a art director muralistickej galérie OMG (Otvorená mestská galéria), ktorá patrí k prvým svojho druhu na Slovensku (</w:t>
      </w:r>
      <w:hyperlink r:id="rId1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https://www.sacsac.org).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V roku 2015 získal ocenenie Študentská osobnosť roka v kategórii Kultúra a umenie. 
Katarína Balúnová- maliarka, kurátorka
zamestnaná ako kurátorka Galérie umelcov Spiša
Sólo výstavy: 2022 DEFENESTRATION - DEFLORATION, Pragovka Gallery / Praha, NE-MOŽNOSTI ÚNIKU, Postpost Gallery / Brno, 2021 PERSONAL UTOPIA / MŰTŐ group gallery / Budapešť, 2021 HUTA-WOOD / XS Galeria / Kielce / PL
Spoločné výstavy: 2022 FLORALIES -  FROM IDYLLIC TO HALLUCINATION / Artinbox Gallery / Praha, 2021 GEO / Riga Art Space / from the collection of Daugavpils Mark Rothko Art Centre / Riga / LV, COVIMETRY / Ely Center of Contemporary Art / New Haven / USA, 14de New Jorg Gallery tentoostelling / New Jorg Gallery / Kalmthout / BE, 2020 2nd DAFEN PAINTING BIENNALE / Dafen Art Museum / Shenzhen / CN
COVIMETRY / BWA Gallery / Ostrowiec Swiętokrzyski / PL , PRESENCIA / Espai Nivi Collblanc Gallery / Culla, Castellon / ES, COUNT UNTIL ZERO / A4 Space For Contemporary Culture / Bratislava / SK, 2019 JUSTMAD X / Art Fair / Palacio Neptuno / Madrid / ES , MEXICO CITY ART EXHIBITION / Ovalo Gallery / Mexico City / MX - catalogue, SLIDESHOW / Roman Susan Gallery / Chicago / USA 
</w:t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Stanovisko zamestnávateľa ŠUP Košice:
</w:t>
      </w:r>
      <w:hyperlink r:id="rId1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https://dusan.such.website.tuke.sk/nextcloud/index.php/s/5o6jQdsNp8KSTkd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Stanovisko Galérie umelcov Spiša:
</w:t>
      </w:r>
      <w:hyperlink r:id="rId1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https://dusan.such.website.tuke.sk/nextcloud/index.php/s/KKpasyERBy8aJLS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https://maisportal.tuke.sk/portal/studijneProgramy.mais?spsId=49669438&amp;arksId=47507289&amp;fakultaId=6881&amp;lang=sk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https://maisportal.tuke.sk/portal/studijneProgramy.mais?spsId=49669438&amp;arksId=47507289&amp;fakultaId=6881&amp;lang=sk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https://fu.tuke.sk/wps/portal/fu/studium/casovy-harmonogram-studia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PhDr. Peter Rónai, akad. mal.,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peter.ronai@tuke.sk,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+421 55 6022635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PhDr. Peter Rónai, akad. mal., peter.ronai@tuke.sk, +421 55 6022635</w:t>
        <w:br/>
        <w:t xml:space="preserve">          doc. Mgr. art. Oto Hudec, ArtD., oto.hudec.2@tuke.sk, ${guarantee.phone}</w:t>
        <w:br/>
        <w:t xml:space="preserve">          doc. Mgr. art. Ing. Richard Kitta, ArtD., richard.kitta@tuke.sk, +421 55 6022176</w:t>
        <w:br/>
        <w:t xml:space="preserve">          doc. MgA. Svetlana Fialová, ArtD., svetlana.fialova@tuke.sk, ${guarantee.phone}</w:t>
        <w:br/>
        <w:t xml:space="preserve">          doc. PaedDr. Mgr. art. Boris Vaitovič, ArtD., boris.vaitovic@tuke.sk, +421 55 6022635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PhDr. Peter Rónai, akad. mal.,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https://res.tuke.sk/api/vupch/62166/export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Mgr. art. Oto Hudec, ArtD.,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https://res.tuke.sk/api/vupch/11123/export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Mgr. art. Ing. Richard Kitta, ArtD., </w:t>
      </w:r>
      <w:hyperlink r:id="rId2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https://res.tuke.sk/api/vupch/26099/export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MgA. Svetlana Fialová, ArtD., 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https://res.tuke.sk/api/vupch/7253/export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PaedDr. Mgr. art. Boris Vaitovič, ArtD., 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https://res.tuke.sk/api/vupch/3149/export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https://maisportal.tuke.sk/portal/studijneProgramy.mais?spsId=49669438&amp;arksId=47507289&amp;fakultaId=6881&amp;lang=sk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Viktória  Surová, surova.viki1@gmail.com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MgA. Svetlana Fialová, ArtD.,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svetlana.fialova@tuke.sk,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$model.sp.studyAdvisor.phone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Fakulta umení  disponuje v súčasnosti priestormi v Košiciach: budovou v areáli TU v Košiciach na Watsonovej č.4 (W4), priestormi v budovách v areáli TU v Košiciach na ul. Vysokoškolskej č. 4 (V4),  
Priestory FU TUKE pre prednášky, semináre, ateliérovú tvorbu, cvičeni:  
Poslucháreň F13 / W4-1.posch.: Projekčná technika, interaktívna a biela tabuľa, prezentačný PC s príslušným softvérom (SW) a s pripojením na internet. Kapacita 60 miest. 
Poslucháreň W2 / W4-prízemie: Projekčná technika, Kapacita 30 miest.
8x Ateliér  / W4-2.posch.: Projekčná technika, prezentačný PC s príslušným softvérom (SW) a s pripojením na internet. Kapacita 16 miest
Kresliareň /  – 1. posch. Projekčná technika a maliarské tojany a maliarske lavičky. Kapacita 30 miest
Modelárske  dielne/ V4/ suterén:  spracovanie dreva, plastu a povrchové úpravy a modelovanie mierkových modelov, modeláreň, sádrovňa a lamináreň,
ROBLAB / W4- suterén    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https://roblab.ka.fu.tuke.sk/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Podprobný rozpis miestností na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https://maisportal.tuke.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Na katedre sú pre úspešné absolvovanie mgr. štúdia k dispozícii nasledovné priestory: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https://dusan.such.website.tuke.sk/nextcloud/index.php/s/ZsndRLbMrZaJtJM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TU v Košiciach disponuje dostačujúcim materiálno-technickým a informačným zabezpečením (knižnica, študovne, dostupnosť informačných zdrojov pomocou internetu, dostupnosť základnej študijnej literatúry, učebníc, monografií a zahraničných vedeckých časopisov, softvérové vybavenie, prístup k potrebným databázam.
Na počítačoch pripojených do siete TUKE sú dostupné medzinárodné elektronické informačné zdroje a informačné databázy ako sú: Web of Science , SCOPUS, Current Contents Connect - databáza karentovaných časopisov, Journal Citation Reports, Essential Science Indicators, ACM DigitalFU TUKE v Košiciach disponuje dostačujúcim materiálno-technickým a informačným zabezpečením (knižnica, študovne, dostupnosť informačných zdrojov pomocou internetu, dostupnosť základnej študijnej literatúry, učebníc, monografií a zahraničných vedeckých časopisov, softvérové vybavenie, prístup k potrebným databázam. 
Fakulta umení TUKE využíva knižničné služby Univerzitnej knižnice TUKE (UK). UK nadobúda, uchováva a sprístupňuje literatúru a informačné zdroje v klasickej aj v elektronickej forme. Informácie o knižnici, o informačných zdrojoch a službách sa nachádzajú na web stránke UK: 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Digitálna knižnica UK: 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http://www.lib.tuke.sk/?page=ezdroje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Fakultná knižnica disponuje vyše dvoma tisíckami publikácií z oblasti dejín a teórie umenia, ale aj estetiky a filozofie.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https://dusan.such.website.tuke.sk/nextcloud/index.php/s/LfDQo9WCsBpAdZR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Študenti FU TUKE majú k dispozícii ďalšie knižničné služby:
    • Štátna vedecká knižnica v Košiciach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https://www.svkk.sk/en/faq2.html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    • Verejná knižnica Jána Bocatia v Košiciach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https://vkjb.sk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V študijnom programe sa takáto forma využíva ako náhradný vyučovací program v prípade výnimočnej pandemickej situácie prostredníctvom platformy webex a ako doplnková k prezenčnej forme u voliteľných predmetov, kde je to možné a žiadúce. Jej rozsah je nasledovný:
Povinne voliteľné predmety:
Počítačová podpora výroby modelov - CNC I.
Počítačová podpora výroby modelov - CNC II.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https://moodle.tuke.sk/moodle/course/index.php?categoryid=21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www.tuke.webex.com
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V študijnom programe sa takáto forma využíva len ako prípravná náhradná forma v študijnom programe  v prípade výnimočnej pandemickej situácie prostredníctvom platformy webex. </w:t>
        <w:br/>
        <w:t/>
        <w:br/>
        <w:t>www.tuke.webex.com</w:t>
        <w:br/>
        <w:t/>
        <w:br/>
        <w:t>www.tuke.webex.com</w:t>
        <w:br/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Postupuje sa podľa organizačných pokynov vydaných rektorom TUKE a dekanom FU TUKE.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https://tuke.sk/wps/portal/tuke/university/news/koronavirus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https://fu.tuke.sk/wps/portal/fu/fakulta/aktuality/opatrenia-na-fu-tuke-pre-ak-rok-2021-2022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https://fu.tuke.sk/wps/wcm/connect/fu.tuke.sk20140/f90e28c6-52fc-40bf-a4d9-a6f9487e65cf/aktualizacia_opatreni_fu_tuke_30_5_2022.pdf?MOD=AJPERES&amp;CVID=o3X4QV6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Zoznam zmluvných partnerov Fakulty umení:
</w:t>
      </w:r>
      <w:hyperlink r:id="rId4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https://dusan.such.website.tuke.sk/nextcloud/index.php/s/keBcpyjFbAFyHWm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Formuláre TUKE pre partnerov:
</w:t>
      </w:r>
      <w:hyperlink r:id="rId4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https://dusan.such.website.tuke.sk/nextcloud/index.php/s/LAQ6m33kzAeajEr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https://fu.tuke.sk/wps/wcm/connect/fu.tuke.sk20140/ded4a4b0-f849-4f54-866d-569bc4203f25/podmienky_prijatia_na_ii_stupen_pre_ak_rok_2022_2023_na+zverejnenie.pdf?MOD=AJPERES&amp;CVID=nYx9Pb-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https://fu.tuke.sk/wps/wcm/connect/fu.tuke.sk20140/ded4a4b0-f849-4f54-866d-569bc4203f25/podmienky_prijatia_na_ii_stupen_pre_ak_rok_2022_2023_na+zverejnenie.pdf?MOD=AJPERES&amp;CVID=nYx9Pb-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https://fu.tuke.sk/wps/portal/fu/studium/informacie-o-studiu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90000&amp;field=8216T04&amp;year=2018" TargetMode="External" Type="http://schemas.openxmlformats.org/officeDocument/2006/relationships/hyperlink"/><Relationship Id="rId14" Target="https://uplatnenie.sk/?degree=V%C5%A0&amp;vs=709000000&amp;faculty=709090000&amp;field=8216T04&amp;year=2019" TargetMode="External" Type="http://schemas.openxmlformats.org/officeDocument/2006/relationships/hyperlink"/><Relationship Id="rId15" Target="https://www.sacsac.org)." TargetMode="External" Type="http://schemas.openxmlformats.org/officeDocument/2006/relationships/hyperlink"/><Relationship Id="rId16" Target="https://dusan.such.website.tuke.sk/nextcloud/index.php/s/5o6jQdsNp8KSTkd" TargetMode="External" Type="http://schemas.openxmlformats.org/officeDocument/2006/relationships/hyperlink"/><Relationship Id="rId17" Target="https://dusan.such.website.tuke.sk/nextcloud/index.php/s/KKpasyERBy8aJLS" TargetMode="External" Type="http://schemas.openxmlformats.org/officeDocument/2006/relationships/hyperlink"/><Relationship Id="rId18" Target="https://tuke.sk/wps/portal/tuke/university/vnutorny-system-kvality/studijne-programy" TargetMode="External" Type="http://schemas.openxmlformats.org/officeDocument/2006/relationships/hyperlink"/><Relationship Id="rId19" Target="https://tuke.sk/wps/portal/tuke/university/legislativa-univerzity/interne-predpisy-a-smernice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legislativa.tuke.sk/legislativa" TargetMode="External" Type="http://schemas.openxmlformats.org/officeDocument/2006/relationships/hyperlink"/><Relationship Id="rId21" Target="https://maisportal.tuke.sk/portal/studijneProgramy.mais?spsId=49669438&amp;arksId=47507289&amp;fakultaId=6881&amp;lang=sk" TargetMode="External" Type="http://schemas.openxmlformats.org/officeDocument/2006/relationships/hyperlink"/><Relationship Id="rId22" Target="https://maisportal.tuke.sk/portal/studijneProgramy.mais?spsId=49669438&amp;arksId=47507289&amp;fakultaId=6881&amp;lang=sk" TargetMode="External" Type="http://schemas.openxmlformats.org/officeDocument/2006/relationships/hyperlink"/><Relationship Id="rId23" Target="https://fu.tuke.sk/wps/portal/fu/studium/casovy-harmonogram-studia" TargetMode="External" Type="http://schemas.openxmlformats.org/officeDocument/2006/relationships/hyperlink"/><Relationship Id="rId24" Target="https://res.tuke.sk/api/vupch/62166/export" TargetMode="External" Type="http://schemas.openxmlformats.org/officeDocument/2006/relationships/hyperlink"/><Relationship Id="rId25" Target="https://res.tuke.sk/api/vupch/11123/export" TargetMode="External" Type="http://schemas.openxmlformats.org/officeDocument/2006/relationships/hyperlink"/><Relationship Id="rId26" Target="https://res.tuke.sk/api/vupch/26099/export" TargetMode="External" Type="http://schemas.openxmlformats.org/officeDocument/2006/relationships/hyperlink"/><Relationship Id="rId27" Target="https://res.tuke.sk/api/vupch/7253/export" TargetMode="External" Type="http://schemas.openxmlformats.org/officeDocument/2006/relationships/hyperlink"/><Relationship Id="rId28" Target="https://res.tuke.sk/api/vupch/3149/export" TargetMode="External" Type="http://schemas.openxmlformats.org/officeDocument/2006/relationships/hyperlink"/><Relationship Id="rId29" Target="https://maisportal.tuke.sk/portal/studijneProgramy.mais?spsId=49669438&amp;arksId=47507289&amp;fakultaId=6881&amp;lang=sk" TargetMode="External" Type="http://schemas.openxmlformats.org/officeDocument/2006/relationships/hyperlink"/><Relationship Id="rId3" Target="styles.xml" Type="http://schemas.openxmlformats.org/officeDocument/2006/relationships/styles"/><Relationship Id="rId30" Target="https://at.tuke.sk" TargetMode="External" Type="http://schemas.openxmlformats.org/officeDocument/2006/relationships/hyperlink"/><Relationship Id="rId31" Target="https://fu.tuke.sk/wps/portal/fu/kontakt/studijne-oddelenie" TargetMode="External" Type="http://schemas.openxmlformats.org/officeDocument/2006/relationships/hyperlink"/><Relationship Id="rId32" Target="https://roblab.ka.fu.tuke.sk/" TargetMode="External" Type="http://schemas.openxmlformats.org/officeDocument/2006/relationships/hyperlink"/><Relationship Id="rId33" Target="https://maisportal.tuke." TargetMode="External" Type="http://schemas.openxmlformats.org/officeDocument/2006/relationships/hyperlink"/><Relationship Id="rId34" Target="https://dusan.such.website.tuke.sk/nextcloud/index.php/s/ZsndRLbMrZaJtJM" TargetMode="External" Type="http://schemas.openxmlformats.org/officeDocument/2006/relationships/hyperlink"/><Relationship Id="rId35" Target="http://www.lib.tuke.sk/" TargetMode="External" Type="http://schemas.openxmlformats.org/officeDocument/2006/relationships/hyperlink"/><Relationship Id="rId36" Target="http://www.lib.tuke.sk/?page=ezdroje" TargetMode="External" Type="http://schemas.openxmlformats.org/officeDocument/2006/relationships/hyperlink"/><Relationship Id="rId37" Target="https://dusan.such.website.tuke.sk/nextcloud/index.php/s/LfDQo9WCsBpAdZR" TargetMode="External" Type="http://schemas.openxmlformats.org/officeDocument/2006/relationships/hyperlink"/><Relationship Id="rId38" Target="https://www.svkk.sk/en/faq2.html" TargetMode="External" Type="http://schemas.openxmlformats.org/officeDocument/2006/relationships/hyperlink"/><Relationship Id="rId39" Target="https://vkjb.sk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moodle.tuke.sk/moodle/course/index.php?categoryid=21" TargetMode="External" Type="http://schemas.openxmlformats.org/officeDocument/2006/relationships/hyperlink"/><Relationship Id="rId41" Target="https://tuke.sk/wps/portal/tuke/university/news/koronavirus" TargetMode="External" Type="http://schemas.openxmlformats.org/officeDocument/2006/relationships/hyperlink"/><Relationship Id="rId42" Target="https://fu.tuke.sk/wps/portal/fu/fakulta/aktuality/opatrenia-na-fu-tuke-pre-ak-rok-2021-2022" TargetMode="External" Type="http://schemas.openxmlformats.org/officeDocument/2006/relationships/hyperlink"/><Relationship Id="rId43" Target="https://fu.tuke.sk/wps/wcm/connect/fu.tuke.sk20140/f90e28c6-52fc-40bf-a4d9-a6f9487e65cf/aktualizacia_opatreni_fu_tuke_30_5_2022.pdf?MOD=AJPERES&amp;CVID=o3X4QV6" TargetMode="External" Type="http://schemas.openxmlformats.org/officeDocument/2006/relationships/hyperlink"/><Relationship Id="rId44" Target="https://dusan.such.website.tuke.sk/nextcloud/index.php/s/keBcpyjFbAFyHWm" TargetMode="External" Type="http://schemas.openxmlformats.org/officeDocument/2006/relationships/hyperlink"/><Relationship Id="rId45" Target="https://dusan.such.website.tuke.sk/nextcloud/index.php/s/LAQ6m33kzAeajEr" TargetMode="External" Type="http://schemas.openxmlformats.org/officeDocument/2006/relationships/hyperlink"/><Relationship Id="rId46" Target="https://studium.tuke.sk/wps/portal/studium/univerzita/info-boxy-texty/studentsky-zivot" TargetMode="External" Type="http://schemas.openxmlformats.org/officeDocument/2006/relationships/hyperlink"/><Relationship Id="rId47" Target="https://ktv.tuke.sk/wps/portal" TargetMode="External" Type="http://schemas.openxmlformats.org/officeDocument/2006/relationships/hyperlink"/><Relationship Id="rId48" Target="https://www.tuke.sk/wps/portal/tuke/university/usek-pre-zahranicne-vztahy/referat-mobilitnych-programov" TargetMode="External" Type="http://schemas.openxmlformats.org/officeDocument/2006/relationships/hyperlink"/><Relationship Id="rId49" Target="https://erasmus.tuke.sk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fu.tuke.sk/wps/wcm/connect/fu.tuke.sk20140/ded4a4b0-f849-4f54-866d-569bc4203f25/podmienky_prijatia_na_ii_stupen_pre_ak_rok_2022_2023_na+zverejnenie.pdf?MOD=AJPERES&amp;CVID=nYx9Pb-" TargetMode="External" Type="http://schemas.openxmlformats.org/officeDocument/2006/relationships/hyperlink"/><Relationship Id="rId51" Target="https://fu.tuke.sk/wps/wcm/connect/fu.tuke.sk20140/ded4a4b0-f849-4f54-866d-569bc4203f25/podmienky_prijatia_na_ii_stupen_pre_ak_rok_2022_2023_na+zverejnenie.pdf?MOD=AJPERES&amp;CVID=nYx9Pb-" TargetMode="External" Type="http://schemas.openxmlformats.org/officeDocument/2006/relationships/hyperlink"/><Relationship Id="rId52" Target="https://fu.tuke.sk/wps/portal/fu/studium/informacie-o-studiu" TargetMode="External" Type="http://schemas.openxmlformats.org/officeDocument/2006/relationships/hyperlink"/><Relationship Id="rId53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4" Target="https://www.tuke.sk/wps/portal/tuke/studies/studentske-ankety" TargetMode="External" Type="http://schemas.openxmlformats.org/officeDocument/2006/relationships/hyperlink"/><Relationship Id="rId55" Target="https://tuke.sk/wps/portal/tuke/university/vnutorny-system-kvality/studijne-programy" TargetMode="External" Type="http://schemas.openxmlformats.org/officeDocument/2006/relationships/hyperlink"/><Relationship Id="rId56" Target="https://www.tuke.sk/wps/portal/tuke/studies/legislativa-studia" TargetMode="External" Type="http://schemas.openxmlformats.org/officeDocument/2006/relationships/hyperlink"/><Relationship Id="rId57" Target="https://tuke.sk/wps/portal/tuke/university/legislativa-univerzity/interne-predpisy-a-smernice" TargetMode="External" Type="http://schemas.openxmlformats.org/officeDocument/2006/relationships/hyperlink"/><Relationship Id="rId58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