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Materials, Metallurgy and Recycling</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Letná 1/9, 042 00 Košice-Sever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spracovanie a recyklácia odpadov,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21071</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1.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645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Extraction and Processing of Earth Resources</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Bc.</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full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slovak language
</w:t>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3</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
        <w:t xml:space="preserve">The study program Waste processing and recycling belongs to the field of study Extraction and Processing of Earth Resources and provides a comprehensive set of knowledge from natural science disciplines and skills in the field of theoretical and practical aspects of the basic processes of industrial metal production, processing of raw materials, origin and generation of waste and methods of waste treatment. The study program also includes education in the field of properties and classification of waste, sampling, principles of chemical analysis and basic analytical methods of characterization of raw materials and waste, the purpose and principle of monitoring environmental components. The study program prepares students for the use of waste management information systems, environmental legislation and application software in the analysis of the environmental impacts of production and industrial activities, the principles of remediation and elimination of environmental pollution and its components in the design of appropriate methods of waste management, including recovery and disposal of waste. The study program aims to provide knowledge about methods of environmental protection and recycling in accordance with the principles of the circular and low-carbon economy and the use of technologies that save raw materials, the environment and increase the quality of life.</w:t>
        <w:br/>
        <w:t xml:space="preserve"> </w:t>
        <w:br/>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The graduate will demonstrate cross-sectional knowledge in the field of raw material sources, characterization, classification, treatment and processing of primary and secondary raw materials and basic waste recycling technologies. The graduate has theoretical and practical knowledge in the field of selected chemical disciplines and understands the physical and physico-chemical principles of the processes of production and processing of raw materials and standard analytical methods for the characterization of raw materials. He knows environmental legislation, global environmental problems and understands the relationships between environmental components and can identify the basic effects of industrial production on the environment. The graduate knows how to acquire, interpret and appropriately use and apply information in the given study program and field when solving tasks and projects in the field of methods of handling raw materials and waste of various types and properties. He has competences in solving theoretical and practical problems and environmental issues in the field of treatment, loading, processing of raw materials and sampling, waste recycling and elimination of environmental pollution. He has the competence to identify and evaluate ethical, social and other contexts in the framework of waste management and solving environmental problems and to communicate the obtained information, principles and solutions to the professional and lay public. The graduate is capable of further independent education in the given field and related fields and programs.</w:t>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 xml:space="preserve">Graduate of the study program:</w:t>
        <w:br/>
        <w:t xml:space="preserve">- Has cross-sectional knowledge of the principles and basic procedures of industrial metal production and processing of raw materials.</w:t>
        <w:br/>
        <w:t xml:space="preserve">- Understands the physical and physico-chemical nature of processes of processing raw materials, creation and recycling of waste.</w:t>
        <w:br/>
        <w:t xml:space="preserve">- Knows the genesis, properties and classification of waste and understands the principles of chemical analysis, basic analytical methods for the characterization of raw materials and waste, the purpose and principle of monitoring environmental components.</w:t>
        <w:br/>
        <w:t xml:space="preserve">- Knows global environmental problems and can analyze the basic effects of production on the environment and the quality of human life.</w:t>
        <w:br/>
        <w:t xml:space="preserve">- Knows waste management legislation, global raw materials policy and knows how to use waste management information systems.</w:t>
        <w:br/>
        <w:t xml:space="preserve">- Knows and can qualitatively compare the basic procedures and principles of waste management, including the recovery and disposal of waste, their treatment before processing and the rehabilitation and elimination of environmental pollution and its components.</w:t>
        <w:br/>
        <w:t xml:space="preserve">- He is able to acquire, sort, analyze and implement the acquired information and knowledge when solving various tasks and projects in the field of waste management of various types, including hazardous waste.</w:t>
        <w:br/>
        <w:t xml:space="preserve">- Has competencies and practical skills in the field of sampling, standard procedures of chemical analysis in the characterization of raw materials and waste, and in presenting and defending the acquired knowledge and results to the professional and lay public.</w:t>
        <w:br/>
        <w:t>- He is capable of further self-education in the field and continue studying study program II. degree.</w:t>
        <w:br/>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Špecialista v oblasti ochrany životného prostredia (okrem priemyselnej ekológie) inde neuvedený</w:t>
        <w:br/>
        <w:t xml:space="preserve">          Špecialista v oblasti priemyselnej ekológie inde neuvedený</w:t>
        <w:br/>
        <w:t xml:space="preserve">          Pracovník spracovania a likvidácie odpadov</w:t>
        <w:br/>
        <w:t xml:space="preserve">          Technológ recyklácie</w:t>
        <w:br/>
        <w:t xml:space="preserve">          Procesný technik v chemickej výrobe 6</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Year: 2018
Source: </w:t>
      </w:r>
      <w:hyperlink r:id="rId13">
        <w:r>
          <w:rPr>
            <w:rFonts w:ascii="" w:hAnsi="" w:cs="" w:eastAsia=""/>
            <w:sz w:val="20"/>
            <w:b w:val="off"/>
            <w:i w:val="on"/>
            <w:u w:val="single"/>
            <w:color w:val="0000FF"/>
          </w:rPr>
          <w:t>https://uplatnenie.sk/?degree=V%C5%A0&amp;vs=709000000&amp;faculty=709020000&amp;field=1612R02&amp;year=2018</w:t>
          <w:br/>
        </w:r>
      </w:hyperlink>
      <w:r>
        <w:rPr>
          <w:rFonts w:ascii="" w:hAnsi="" w:cs="" w:eastAsia=""/>
          <w:sz w:val="20"/>
          <w:b w:val="off"/>
          <w:i w:val="on"/>
          <w:u w:val="none"/>
          <w:color w:val=""/>
        </w:rPr>
        <w:t xml:space="preserve">
Due to the low number of graduates, no application data is available.
Year: 2019
Source: </w:t>
      </w:r>
      <w:hyperlink r:id="rId14">
        <w:r>
          <w:rPr>
            <w:rFonts w:ascii="" w:hAnsi="" w:cs="" w:eastAsia=""/>
            <w:sz w:val="20"/>
            <w:b w:val="off"/>
            <w:i w:val="on"/>
            <w:u w:val="single"/>
            <w:color w:val="0000FF"/>
          </w:rPr>
          <w:t>https://uplatnenie.sk/?degree=V%C5%A0&amp;vs=709000000&amp;faculty=709020000&amp;field=1612R02&amp;year=2019</w:t>
          <w:br/>
        </w:r>
      </w:hyperlink>
      <w:r>
        <w:rPr>
          <w:rFonts w:ascii="" w:hAnsi="" w:cs="" w:eastAsia=""/>
          <w:sz w:val="20"/>
          <w:b w:val="off"/>
          <w:i w:val="on"/>
          <w:u w:val="none"/>
          <w:color w:val=""/>
        </w:rPr>
        <w:t xml:space="preserve">
Number of graduates: 10
Employment: 0%
Contract workers: 0%
SZČO: 0%
On maternity leave: 0%
Unemployed: 0%
Continuing studies: 100%
Others (working abroad, voluntarily unemployed): 0%
</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Agnesa DORÁKOVÁ, Martina FERENCOVÁ, Blanka HLUCHÁŇOVÁ, Katarína KARŠKOVÁ, Jana KOHÚTOVÁ, Katarína MAŠLONKOVÁ, Juraj PODRACKÝ, Eva TURÓCZIOVÁ, Gabriela BALOGOVÁ, Miriam REŠTEIOVÁ, Ivana SEMJANOVÁ, Lucia SIMKOVÁ, Zita TAKÁČOVÁ, Marianna DORKOVÁ, Miroslav HRUŠKA, Ján KADUK, Anna KOCHMANOVÁ, Katarína KOVÁČOVÁ, Jana MATYASEKOVÁ, Peter PEKO, Tomáš SCHüTZ, Martin SISÁK, Pavol SÝKORA, Karol ŠUGÁR, Ľudmila TISCHLEROVÁ, Tomáš VINDT, Marcela ZAJACOVÁ, Lenka ŽUPČÁNOVÁ, Peter FERKO, Martin HORČÍK, Lucia HRUŠKOVÁ, Marián NOVICKÝ, Jana PEKARČIKOVÁ, Jana PIROŠKOVÁ, František TALAROVIČ, Magdaléna VASILOVÁ, Adam ZELEŇÁK, Nikoleta SZABÓOVÁ, Michaela MELNIČÁKOVÁ, Soňa KOŠOVÁ, Milan BERTA, Mária FERENCOVÁ, Jana JAJČIŠINOVÁ, Ivana KOBIALKOVÁ, Lívia KOČIŠOVÁ, Andrea LEGEMZOVÁ, Denisa LENKOVÁ, Marek PALENČÁR, Miroslav URBAN, Nikola VRÁBĽOVÁ, Peter BERKA, Adrián LIŠKO, Nikoleta LUKÁCSOVÁ, Stanislava MARCIŠOVÁ, Gréta MARUŠKINOVÁ, Jaroslav MRÁZ, Dominika RUDZANOVÁ, Klaudia ŠÁNDOROVÁ, František VÁGNER, Marek KURILEC, Adriána SABOLOVÁ, Vieroslava BAKSOVÁ, Patrícia BÉRESOVÁ, Miroslav ČIGAŠ, Kristína GERHARTOVÁ, Krystyna HOJOLOVÁ, Tatiana IVANKOVÁ, Boris IVANOV, Ján JAŠČIŠÁK, Lucia KORBUĽÁKOVÁ, Soňa KOSTOVČÍKOVÁ, Igor MACÁK, Alexandra MEDVECOVÁ, Michal ONDOČKO, Ivana POLAČKOVÁ, Dominika ROZMANOVÁ, Simona SOBEKOVÁ-FOĽTOVÁ, Magdaléna ŠIMKOVÁ, Veronika TÓTHOVÁ, Peter TUREK, Kristína ZAKUCIOVÁ, Vladimíra ANTOLÍKOVÁ, Denisa VRLÍKOVÁ, Janka BAKSOVÁ, Katarína BLAŠKOVÁ, Jana ČERNICKÁ, Adriana FILČÁKOVÁ, Martina JAKABOVÁ, Ivan PETRUŠKA, Matej TEŠINSKÝ, Ľubomír JARUŠINSKÝ, Vladimír ROŠKO, Denisa KISSOVÁ, Radoslav BAČA, Zuzana CHMELÍKOVÁ, Ivana GRAINDOVÁ, Adrián HERČKO, Patrik KURUC, Marek PALENČÁR, Jakub KLIMKO, Jordan KOSTADINOV, Patrícia KRIŠTOFOVÁ, Ádám PÁSZTOR, Zuzana STOLÁROVÁ, tanislav ROMAN, Magdaléna ČULÁKOVÁ, Vladimír DZURO, Dušan KLEIN, Soňa KÖTELEŠOVÁ, Tomáš KOVALČÍK, Marek MATISCSÁK, Valentína BERCIKOVÁ, Andrej DŽUGAN, Olívia KAČALOVÁ, Patrícia KELEMENOVÁ, Róberta SLEZÁKOVÁ, Matúš SZABÓ, Branislav ZAVACKÝ, Lucia ZMIJOVÁ, Dominika DOLEŽIOVÁ, Oleksandra MALKOVÁ, Monika HORVÁTHOVÁ, Mariya MIKHEEVA, Jakub KURIAN, Milan RYBÁR, Artem YAROSH, Anna YEHOROVA, Dominika KALAPOSOVÁ, Daniela PANCÁKOVÁ, Viktória TÓTHOVÁ, Róbert ČECH, Veronika DOBROVOLNÁ, Jakub GAŽO, Samuel KOLARČÍK, Alexandra KOLLOVÁ, Vladimír MARCINOV, Simona MEZEIOVÁ, Šimon NAGY, Michaela RUŽIČKOVÁ, Adriana ČIKOTOVÁ, Marián DOBROVOLNÝ, Kamila FEKETEOVÁ, Tomáš MESTER, Adéla VALOVÁ</w:t>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 xml:space="preserve">The results of a questionnaire survey of employers (8 companies participated) who took part in the evaluation survey of the study program "Waste processing and recycling" show that:</w:t>
        <w:br/>
        <w:t xml:space="preserve">• 87.5% of employers evaluate the focus of the study program "Waste processing and recycling" as satisfactory or rather satisfactory for practice,</w:t>
        <w:br/>
        <w:t xml:space="preserve">• 100% of employers perceive the content and content of the study program as satisfactory or rather satisfactory for practice,</w:t>
        <w:br/>
        <w:t xml:space="preserve">• 100% of employers consider the study program important for practice,</w:t>
        <w:br/>
        <w:t xml:space="preserve">• 100% of employers, based on their own experience, expressed the claim that graduates of the study program have a practical application and are a perspective for the company,</w:t>
        <w:br/>
        <w:t xml:space="preserve">• 75% of employers unequivocally state that graduates of the study program can also find employment in other industries related to the recycling industry. The remaining 25% of employers confirm rather than deny this statement.</w:t>
        <w:br/>
        <w:t>According to the additional statements of the voting employers on the question of which topics and areas they would welcome as part of the "Waste Processing and Recycling" study program for its improvement and expansion also from the point of view of their needs, the proposed comments are primarily aimed at expanding the content and expertise in the field of processing and recycling of hazardous waste, the legislative and administrative framework of companies with a focus on waste processing and recycling, as well as supplementing the content of study subjects with a focus on energy recovery and valorization of waste and on economic calculations related to the given area.</w:t>
        <w:br/>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https://maisportal.tuke.sk/portal/studijneProgramy.mais?spsId=49784267&amp;arksId=47507289&amp;fakultaId=6875&amp;lang=sk</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https://maisportal.tuke.sk/portal/studijneProgramy.mais?spsId=49784267&amp;arksId=47507289&amp;fakultaId=6875&amp;lang=sk</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9">
        <w:r>
          <w:rPr>
            <w:rFonts w:ascii="" w:hAnsi="" w:cs="" w:eastAsia=""/>
            <w:sz w:val="20"/>
            <w:b w:val="off"/>
            <w:i w:val="off"/>
            <w:u w:val="single"/>
            <w:color w:val="0000FF"/>
          </w:rPr>
          <w:t>https://fmmr.tuke.sk/wps/portal/fmmr/studium/studijne-odbory-a-programy</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prof. Ing. Andrea Miškufová, PhD., </w:t>
      </w:r>
      <w:r w:rsidR="00505A88">
        <w:rPr>
          <w:rFonts w:cstheme="minorHAnsi"/>
          <w:i/>
          <w:iCs/>
          <w:sz w:val="20"/>
          <w:szCs w:val="20"/>
          <w:lang w:val="en-GB"/>
        </w:rPr>
        <w:t/>
      </w:r>
      <w:r w:rsidRPr="00BA4B69">
        <w:rPr>
          <w:rFonts w:cstheme="minorHAnsi"/>
          <w:i/>
          <w:iCs/>
          <w:sz w:val="20"/>
          <w:szCs w:val="20"/>
          <w:lang w:val="en-GB"/>
        </w:rPr>
        <w:t xml:space="preserve">andrea.miskufova@tuke.sk, </w:t>
      </w:r>
      <w:r w:rsidR="00505A88">
        <w:rPr>
          <w:rFonts w:cstheme="minorHAnsi"/>
          <w:i/>
          <w:iCs/>
          <w:sz w:val="20"/>
          <w:szCs w:val="20"/>
          <w:lang w:val="en-GB"/>
        </w:rPr>
        <w:t/>
      </w:r>
      <w:r w:rsidRPr="00BA4B69">
        <w:rPr>
          <w:rFonts w:cstheme="minorHAnsi"/>
          <w:i/>
          <w:iCs/>
          <w:sz w:val="20"/>
          <w:szCs w:val="20"/>
          <w:lang w:val="en-GB"/>
        </w:rPr>
        <w:t>+421 55 6022400</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prof. Ing. Andrea Miškufová, PhD., andrea.miskufova@tuke.sk, +421 55 6022400</w:t>
        <w:br/>
        <w:t xml:space="preserve">          doc. Ing. Dušan Oráč, PhD., dusan.orac@tuke.sk, +421 55 6022428</w:t>
        <w:br/>
        <w:t xml:space="preserve">          doc. RNDr. Ľubomír Pikna, PhD., lubomir.pikna@tuke.sk, +421 55 6022307</w:t>
        <w:br/>
        <w:t xml:space="preserve">          doc. Ing. Pavol Liptai, PhD., pavol.liptai@tuke.sk, +421 55 6022308</w:t>
        <w:br/>
        <w:t xml:space="preserve">          doc. Ing. Zita Takáčová, PhD., zita.takacova@tuke.sk, +421 55 6022493</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prof. Ing. Andrea Miškufová, PhD., </w:t>
      </w:r>
      <w:hyperlink r:id="rId20">
        <w:r>
          <w:rPr>
            <w:rFonts w:ascii="" w:hAnsi="" w:cs="" w:eastAsia=""/>
            <w:sz w:val="20"/>
            <w:b w:val="off"/>
            <w:i w:val="on"/>
            <w:u w:val="single"/>
            <w:color w:val="0000FF"/>
          </w:rPr>
          <w:t>https://res.tuke.sk/api/vupch/1967/export</w:t>
          <w:br/>
        </w:r>
      </w:hyperlink>
      <w:r>
        <w:rPr>
          <w:rFonts w:ascii="" w:hAnsi="" w:cs="" w:eastAsia=""/>
          <w:sz w:val="20"/>
          <w:b w:val="off"/>
          <w:i w:val="on"/>
          <w:u w:val="none"/>
          <w:color w:val=""/>
        </w:rPr>
        <w:t xml:space="preserve">
doc. Ing. Dušan Oráč, PhD., </w:t>
      </w:r>
      <w:hyperlink r:id="rId21">
        <w:r>
          <w:rPr>
            <w:rFonts w:ascii="" w:hAnsi="" w:cs="" w:eastAsia=""/>
            <w:sz w:val="20"/>
            <w:b w:val="off"/>
            <w:i w:val="on"/>
            <w:u w:val="single"/>
            <w:color w:val="0000FF"/>
          </w:rPr>
          <w:t>https://res.tuke.sk/api/vupch/9296/export</w:t>
          <w:br/>
        </w:r>
      </w:hyperlink>
      <w:r>
        <w:rPr>
          <w:rFonts w:ascii="" w:hAnsi="" w:cs="" w:eastAsia=""/>
          <w:sz w:val="20"/>
          <w:b w:val="off"/>
          <w:i w:val="on"/>
          <w:u w:val="none"/>
          <w:color w:val=""/>
        </w:rPr>
        <w:t xml:space="preserve">
doc. RNDr. Ľubomír Pikna, PhD., </w:t>
      </w:r>
      <w:hyperlink r:id="rId22">
        <w:r>
          <w:rPr>
            <w:rFonts w:ascii="" w:hAnsi="" w:cs="" w:eastAsia=""/>
            <w:sz w:val="20"/>
            <w:b w:val="off"/>
            <w:i w:val="on"/>
            <w:u w:val="single"/>
            <w:color w:val="0000FF"/>
          </w:rPr>
          <w:t>https://res.tuke.sk/api/vupch/3990/export</w:t>
          <w:br/>
        </w:r>
      </w:hyperlink>
      <w:r>
        <w:rPr>
          <w:rFonts w:ascii="" w:hAnsi="" w:cs="" w:eastAsia=""/>
          <w:sz w:val="20"/>
          <w:b w:val="off"/>
          <w:i w:val="on"/>
          <w:u w:val="none"/>
          <w:color w:val=""/>
        </w:rPr>
        <w:t xml:space="preserve">
doc. Ing. Pavol Liptai, PhD., </w:t>
      </w:r>
      <w:hyperlink r:id="rId23">
        <w:r>
          <w:rPr>
            <w:rFonts w:ascii="" w:hAnsi="" w:cs="" w:eastAsia=""/>
            <w:sz w:val="20"/>
            <w:b w:val="off"/>
            <w:i w:val="on"/>
            <w:u w:val="single"/>
            <w:color w:val="0000FF"/>
          </w:rPr>
          <w:t>https://res.tuke.sk/api/vupch/7898/export</w:t>
          <w:br/>
        </w:r>
      </w:hyperlink>
      <w:r>
        <w:rPr>
          <w:rFonts w:ascii="" w:hAnsi="" w:cs="" w:eastAsia=""/>
          <w:sz w:val="20"/>
          <w:b w:val="off"/>
          <w:i w:val="on"/>
          <w:u w:val="none"/>
          <w:color w:val=""/>
        </w:rPr>
        <w:t xml:space="preserve">
doc. Ing. Zita Takáčová, PhD., </w:t>
      </w:r>
      <w:hyperlink r:id="rId24">
        <w:r>
          <w:rPr>
            <w:rFonts w:ascii="" w:hAnsi="" w:cs="" w:eastAsia=""/>
            <w:sz w:val="20"/>
            <w:b w:val="off"/>
            <w:i w:val="on"/>
            <w:u w:val="single"/>
            <w:color w:val="0000FF"/>
          </w:rPr>
          <w:t>https://res.tuke.sk/api/vupch/10659/export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5">
        <w:r>
          <w:rPr>
            <w:rFonts w:ascii="" w:hAnsi="" w:cs="" w:eastAsia=""/>
            <w:sz w:val="20"/>
            <w:b w:val="off"/>
            <w:i w:val="off"/>
            <w:u w:val="single"/>
            <w:color w:val="0000FF"/>
          </w:rPr>
          <w:t>https://maisportal.tuke.sk/portal/studijneProgramy.mais?spsId=49784267&amp;arksId=47507289&amp;fakultaId=6875&amp;lang=sk</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26">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Karolína  Nullasová, katarina.nullasova@student.tuke.sk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Ing. Tomáš Vindt, PhD., </w:t>
      </w:r>
      <w:r w:rsidR="00505A88">
        <w:rPr>
          <w:rFonts w:cstheme="minorHAnsi"/>
          <w:i/>
          <w:iCs/>
          <w:sz w:val="20"/>
          <w:szCs w:val="20"/>
          <w:lang w:val="en-GB"/>
        </w:rPr>
        <w:t/>
      </w:r>
      <w:r w:rsidRPr="00BA4B69">
        <w:rPr>
          <w:rFonts w:cstheme="minorHAnsi"/>
          <w:i/>
          <w:iCs/>
          <w:sz w:val="20"/>
          <w:szCs w:val="20"/>
          <w:lang w:val="en-GB"/>
        </w:rPr>
        <w:t xml:space="preserve">tomas.vindt@tuke.sk, </w:t>
      </w:r>
      <w:r w:rsidR="00505A88">
        <w:rPr>
          <w:rFonts w:cstheme="minorHAnsi"/>
          <w:i/>
          <w:iCs/>
          <w:sz w:val="20"/>
          <w:szCs w:val="20"/>
          <w:lang w:val="en-GB"/>
        </w:rPr>
        <w:t/>
      </w:r>
      <w:r w:rsidRPr="00BA4B69">
        <w:rPr>
          <w:rFonts w:cstheme="minorHAnsi"/>
          <w:i/>
          <w:iCs/>
          <w:sz w:val="20"/>
          <w:szCs w:val="20"/>
          <w:lang w:val="en-GB"/>
        </w:rPr>
        <w:t>+421 55 6022426</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7">
        <w:r>
          <w:rPr>
            <w:rFonts w:ascii="" w:hAnsi="" w:cs="" w:eastAsia=""/>
            <w:sz w:val="20"/>
            <w:b w:val="off"/>
            <w:i w:val="off"/>
            <w:u w:val="single"/>
            <w:color w:val="0000FF"/>
          </w:rPr>
          <w:t>https://fmmr.tuke.sk/wps/portal/fmmr/fakulta/kontakt/studijne-oddelenie</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The list of laboratories and classrooms that are used together with their characterization and equipment can be found on the website: </w:t>
      </w:r>
      <w:hyperlink r:id="rId28">
        <w:r>
          <w:rPr>
            <w:rFonts w:ascii="" w:hAnsi="" w:cs="" w:eastAsia=""/>
            <w:sz w:val="20"/>
            <w:b w:val="off"/>
            <w:i w:val="on"/>
            <w:u w:val="single"/>
            <w:color w:val="0000FF"/>
          </w:rPr>
          <w:t>https://urt.fmmr.tuke.sk/index.php?hm=ustav&amp;sm=laboratoria&amp;lang=svk</w:t>
          <w:br/>
        </w:r>
      </w:hyperlink>
      <w:r>
        <w:rPr>
          <w:rFonts w:ascii="" w:hAnsi="" w:cs="" w:eastAsia=""/>
          <w:sz w:val="20"/>
          <w:b w:val="off"/>
          <w:i w:val="on"/>
          <w:u w:val="none"/>
          <w:color w:val=""/>
        </w:rPr>
        <w:t xml:space="preserve">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Access to study literature is through the University Library and its study room, either in physical or electronic form via the website </w:t>
      </w:r>
      <w:hyperlink r:id="rId29">
        <w:r>
          <w:rPr>
            <w:rFonts w:ascii="" w:hAnsi="" w:cs="" w:eastAsia=""/>
            <w:sz w:val="20"/>
            <w:b w:val="off"/>
            <w:i w:val="on"/>
            <w:u w:val="single"/>
            <w:color w:val="0000FF"/>
          </w:rPr>
          <w:t>http://www.lib.tuke.sk/.</w:t>
          <w:br/>
        </w:r>
      </w:hyperlink>
      <w:r>
        <w:rPr>
          <w:rFonts w:ascii="" w:hAnsi="" w:cs="" w:eastAsia=""/>
          <w:sz w:val="20"/>
          <w:b w:val="off"/>
          <w:i w:val="on"/>
          <w:u w:val="none"/>
          <w:color w:val=""/>
        </w:rPr>
        <w:t xml:space="preserve"> At the same time, from the university environment, students have free access to world databases such as Web of Science, Scopus and Science Direct, where scientific articles and publications can be found. Study literature is also available at the FMMR TUKE Institute of Recycling Technologies through individual teachers, while the list and study literature materials are available on the institute's website: </w:t>
      </w:r>
      <w:hyperlink r:id="rId30">
        <w:r>
          <w:rPr>
            <w:rFonts w:ascii="" w:hAnsi="" w:cs="" w:eastAsia=""/>
            <w:sz w:val="20"/>
            <w:b w:val="off"/>
            <w:i w:val="on"/>
            <w:u w:val="single"/>
            <w:color w:val="0000FF"/>
          </w:rPr>
          <w:t>https://urt.fmmr.tuke.sk/index.php?hm=studium&amp;sm</w:t>
          <w:br/>
        </w:r>
      </w:hyperlink>
      <w:r>
        <w:rPr>
          <w:rFonts w:ascii="" w:hAnsi="" w:cs="" w:eastAsia=""/>
          <w:sz w:val="20"/>
          <w:b w:val="off"/>
          <w:i w:val="on"/>
          <w:u w:val="none"/>
          <w:color w:val=""/>
        </w:rPr>
        <w:t xml:space="preserve"> =vyuka&amp;lang=svk, </w:t>
      </w:r>
      <w:hyperlink r:id="rId31">
        <w:r>
          <w:rPr>
            <w:rFonts w:ascii="" w:hAnsi="" w:cs="" w:eastAsia=""/>
            <w:sz w:val="20"/>
            <w:b w:val="off"/>
            <w:i w:val="on"/>
            <w:u w:val="single"/>
            <w:color w:val="0000FF"/>
          </w:rPr>
          <w:t>https://urt.fmmr.tuke.sk/index.php?hm=veda&amp;sm=publikacie&amp;lang=svk.</w:t>
          <w:br/>
        </w:r>
      </w:hyperlink>
      <w:r>
        <w:rPr>
          <w:rFonts w:ascii="" w:hAnsi="" w:cs="" w:eastAsia=""/>
          <w:sz w:val="20"/>
          <w:b w:val="off"/>
          <w:i w:val="on"/>
          <w:u w:val="none"/>
          <w:color w:val=""/>
        </w:rPr>
        <w:t xml:space="preserve">
Library services are concentrated in the University Library (UK) of the Technical University in Košice, which includes all activities from searching in the library fund to searching for information in the online catalog and available databases (WoS, Scopus, Springer Link, etc.) to making it available specific documents in printed or electronic form in the UK TUKE fund (the total number of documents is 186,966, of which 64,228 books, 40,046 textbooks, 7,779 anthologies, 6,341 bound periodicals, 7,718 electronic documents, 31,846 final and qualifying theses). UK also provides: loan services; consulting services; reference services; digital services; MVS  and MKVS (inter-library book rental) service; education and training for writing theses.
</w:t>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As part of the daily form of study of the study program, it is possible to implement it by full-time or combined method in all subjects of OŠP (description of study program). In the case of the combined method, 53% of the teaching is carried out face-to-face and 47% remotely using E-learning (moodle, assignment processing, online consultations via webex meetings, microsoft teams)</w:t>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The method used is using the Moodle TUKE platform, which offers a wide range of uses such as e.g. storing lectures and other teaching materials, informing students and implementing exams and tests. Other platforms are licensed programs of the Technical University in Košice, namely: Webex and Microsoft Teams.</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Transition from the face-to-face study method to the distance method, across the board, i.e. also for the attendance method of education, is implemented on the basis of the rector´s order in case of declaration of an emergency situation in the state.</w:t>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The list of partners and their participation in education can be found on the website of the Institute of Recycling Technologies FMMR TUKE: </w:t>
      </w:r>
      <w:hyperlink r:id="rId32">
        <w:r>
          <w:rPr>
            <w:rFonts w:ascii="" w:hAnsi="" w:cs="" w:eastAsia=""/>
            <w:sz w:val="20"/>
            <w:b w:val="off"/>
            <w:i w:val="on"/>
            <w:u w:val="single"/>
            <w:color w:val="0000FF"/>
          </w:rPr>
          <w:t>https://urt.fmmr.tuke.sk/index.php?hm=ustav&amp;sm=partneri&amp;lang=svk</w:t>
          <w:br/>
        </w:r>
      </w:hyperlink>
      <w:r>
        <w:rPr>
          <w:rFonts w:ascii="" w:hAnsi="" w:cs="" w:eastAsia=""/>
          <w:sz w:val="20"/>
          <w:b w:val="off"/>
          <w:i w:val="on"/>
          <w:u w:val="none"/>
          <w:color w:val=""/>
        </w:rPr>
        <w:t xml:space="preserve"> 
Within the educational process, partners are also persons from external environment, who participate in state exams or prepare assessments for final theses. Among our permanent partners are mainly employees of the institutes of the Slovak Academy of Sciences in Košice (Institute of Materials Research, vvi, Institute of Geotechnics, vvi, Institute of Experimental Physics vvi) and other workers of industrial enterprises.
</w:t>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33">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4">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5">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6">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37">
        <w:r>
          <w:rPr>
            <w:rFonts w:ascii="" w:hAnsi="" w:cs="" w:eastAsia=""/>
            <w:sz w:val="20"/>
            <w:b w:val="off"/>
            <w:i w:val="off"/>
            <w:u w:val="single"/>
            <w:color w:val="0000FF"/>
          </w:rPr>
          <w:t>https://fmmr.tuke.sk/wps/portal/fmmr/uchadzaci/podmienky-prijatia-na-bc-studium</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38">
        <w:r>
          <w:rPr>
            <w:rFonts w:ascii="" w:hAnsi="" w:cs="" w:eastAsia=""/>
            <w:sz w:val="20"/>
            <w:b w:val="off"/>
            <w:i w:val="off"/>
            <w:u w:val="single"/>
            <w:color w:val="0000FF"/>
          </w:rPr>
          <w:t>https://fmmr.tuke.sk/wps/portal/fmmr/uchadzaci/podmienky-prijatia-na-bc-studium</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39">
        <w:r>
          <w:rPr>
            <w:rFonts w:ascii="" w:hAnsi="" w:cs="" w:eastAsia=""/>
            <w:sz w:val="20"/>
            <w:b w:val="off"/>
            <w:i w:val="off"/>
            <w:u w:val="single"/>
            <w:color w:val="0000FF"/>
          </w:rPr>
          <w:t>https://fmmr.tuke.sk/wps/portal/fmmr/studium/bakalarske-studium/vysledky_prijimacich_konani_bc</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0">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1">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42">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43">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44">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20000&amp;field=1612R02&amp;year=2018" TargetMode="External" Type="http://schemas.openxmlformats.org/officeDocument/2006/relationships/hyperlink"/><Relationship Id="rId14" Target="https://uplatnenie.sk/?degree=V%C5%A0&amp;vs=709000000&amp;faculty=709020000&amp;field=1612R02&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maisportal.tuke.sk/portal/studijneProgramy.mais?spsId=49784267&amp;arksId=47507289&amp;fakultaId=6875&amp;lang=sk" TargetMode="External" Type="http://schemas.openxmlformats.org/officeDocument/2006/relationships/hyperlink"/><Relationship Id="rId18" Target="https://maisportal.tuke.sk/portal/studijneProgramy.mais?spsId=49784267&amp;arksId=47507289&amp;fakultaId=6875&amp;lang=sk" TargetMode="External" Type="http://schemas.openxmlformats.org/officeDocument/2006/relationships/hyperlink"/><Relationship Id="rId19" Target="https://fmmr.tuke.sk/wps/portal/fmmr/studium/studijne-odbory-a-programy" TargetMode="External" Type="http://schemas.openxmlformats.org/officeDocument/2006/relationships/hyperlink"/><Relationship Id="rId2" Target="numbering.xml" Type="http://schemas.openxmlformats.org/officeDocument/2006/relationships/numbering"/><Relationship Id="rId20" Target="https://res.tuke.sk/api/vupch/1967/export" TargetMode="External" Type="http://schemas.openxmlformats.org/officeDocument/2006/relationships/hyperlink"/><Relationship Id="rId21" Target="https://res.tuke.sk/api/vupch/9296/export" TargetMode="External" Type="http://schemas.openxmlformats.org/officeDocument/2006/relationships/hyperlink"/><Relationship Id="rId22" Target="https://res.tuke.sk/api/vupch/3990/export" TargetMode="External" Type="http://schemas.openxmlformats.org/officeDocument/2006/relationships/hyperlink"/><Relationship Id="rId23" Target="https://res.tuke.sk/api/vupch/7898/export" TargetMode="External" Type="http://schemas.openxmlformats.org/officeDocument/2006/relationships/hyperlink"/><Relationship Id="rId24" Target="https://res.tuke.sk/api/vupch/10659/export" TargetMode="External" Type="http://schemas.openxmlformats.org/officeDocument/2006/relationships/hyperlink"/><Relationship Id="rId25" Target="https://maisportal.tuke.sk/portal/studijneProgramy.mais?spsId=49784267&amp;arksId=47507289&amp;fakultaId=6875&amp;lang=sk" TargetMode="External" Type="http://schemas.openxmlformats.org/officeDocument/2006/relationships/hyperlink"/><Relationship Id="rId26" Target="https://at.tuke.sk" TargetMode="External" Type="http://schemas.openxmlformats.org/officeDocument/2006/relationships/hyperlink"/><Relationship Id="rId27" Target="https://fmmr.tuke.sk/wps/portal/fmmr/fakulta/kontakt/studijne-oddelenie" TargetMode="External" Type="http://schemas.openxmlformats.org/officeDocument/2006/relationships/hyperlink"/><Relationship Id="rId28" Target="https://urt.fmmr.tuke.sk/index.php?hm=ustav&amp;sm=laboratoria&amp;lang=svk" TargetMode="External" Type="http://schemas.openxmlformats.org/officeDocument/2006/relationships/hyperlink"/><Relationship Id="rId29" Target="http://www.lib.tuke.sk/." TargetMode="External" Type="http://schemas.openxmlformats.org/officeDocument/2006/relationships/hyperlink"/><Relationship Id="rId3" Target="styles.xml" Type="http://schemas.openxmlformats.org/officeDocument/2006/relationships/styles"/><Relationship Id="rId30" Target="https://urt.fmmr.tuke.sk/index.php?hm=studium&amp;sm" TargetMode="External" Type="http://schemas.openxmlformats.org/officeDocument/2006/relationships/hyperlink"/><Relationship Id="rId31" Target="https://urt.fmmr.tuke.sk/index.php?hm=veda&amp;sm=publikacie&amp;lang=svk." TargetMode="External" Type="http://schemas.openxmlformats.org/officeDocument/2006/relationships/hyperlink"/><Relationship Id="rId32" Target="https://urt.fmmr.tuke.sk/index.php?hm=ustav&amp;sm=partneri&amp;lang=svk" TargetMode="External" Type="http://schemas.openxmlformats.org/officeDocument/2006/relationships/hyperlink"/><Relationship Id="rId33" Target="https://studium.tuke.sk/wps/portal/studium/univerzita/info-boxy-texty/studentsky-zivot" TargetMode="External" Type="http://schemas.openxmlformats.org/officeDocument/2006/relationships/hyperlink"/><Relationship Id="rId34" Target="https://ktv.tuke.sk/wps/portal" TargetMode="External" Type="http://schemas.openxmlformats.org/officeDocument/2006/relationships/hyperlink"/><Relationship Id="rId35" Target="https://www.tuke.sk/wps/portal/tuke/university/usek-pre-zahranicne-vztahy/referat-mobilitnych-programov" TargetMode="External" Type="http://schemas.openxmlformats.org/officeDocument/2006/relationships/hyperlink"/><Relationship Id="rId36" Target="https://erasmus.tuke.sk" TargetMode="External" Type="http://schemas.openxmlformats.org/officeDocument/2006/relationships/hyperlink"/><Relationship Id="rId37" Target="https://fmmr.tuke.sk/wps/portal/fmmr/uchadzaci/podmienky-prijatia-na-bc-studium" TargetMode="External" Type="http://schemas.openxmlformats.org/officeDocument/2006/relationships/hyperlink"/><Relationship Id="rId38" Target="https://fmmr.tuke.sk/wps/portal/fmmr/uchadzaci/podmienky-prijatia-na-bc-studium" TargetMode="External" Type="http://schemas.openxmlformats.org/officeDocument/2006/relationships/hyperlink"/><Relationship Id="rId39" Target="https://fmmr.tuke.sk/wps/portal/fmmr/studium/bakalarske-studium/vysledky_prijimacich_konani_bc" TargetMode="External" Type="http://schemas.openxmlformats.org/officeDocument/2006/relationships/hyperlink"/><Relationship Id="rId4" Target="settings.xml" Type="http://schemas.openxmlformats.org/officeDocument/2006/relationships/settings"/><Relationship Id="rId40" Target="https://legislativa.tuke.sk/legislativa/sekcia-pre-zamestnancov/organizacne-smernice/hlavne-procesy/h1-vzdelavanie/os_tuke_h1_01_vzdelavanie_vyd03.pdf/view" TargetMode="External" Type="http://schemas.openxmlformats.org/officeDocument/2006/relationships/hyperlink"/><Relationship Id="rId41" Target="https://www.tuke.sk/wps/portal/tuke/studies/studentske-ankety" TargetMode="External" Type="http://schemas.openxmlformats.org/officeDocument/2006/relationships/hyperlink"/><Relationship Id="rId42" Target="https://tuke.sk/wps/portal/tuke/university/vnutorny-system-kvality/studijne-programy" TargetMode="External" Type="http://schemas.openxmlformats.org/officeDocument/2006/relationships/hyperlink"/><Relationship Id="rId43" Target="https://www.tuke.sk/wps/portal/tuke/studies/legislativa-studia" TargetMode="External" Type="http://schemas.openxmlformats.org/officeDocument/2006/relationships/hyperlink"/><Relationship Id="rId44" Target="https://tuke.sk/wps/portal/tuke/university/legislativa-univerzity/interne-predpisy-a-smernice"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