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umení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architektúra a urbanizmus,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20959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architektúra a urbanizmus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 xml:space="preserve"> </w:t>
        <w:br/>
        <w:t xml:space="preserve">Absolvent bakalárskeho študijného programu má všeobecné vedomosti na úrovni syntézy zo základov architektonického a urbanistického navrhovania. Rozumie typológii obytných, občianskych budov, výrobných a inžinierskych stavieb a ich vnútornému prostrediu. Ovláda zásady územného plánovania a technicko-konštrukčných disciplín. Aplikuje vedomosti o stavebných materiáloch a stavebných technológiách  vrátane alternatívnych riešení. Má primerané znalosti z dejín výtvarného umenia a architektúry, z dejín stavby miest a všeobecné znalosti zo spoločenských a humanitných disciplín súvisiacich so študijným odborom architektúra a urbanizmus. 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Absolvent bakalárskeho študijného programu získa poznatky o tvorbe a pretváraní fyzického, sociálneho a kultúrneho prostredia v rozsahu od architektonických prvkov, cez objekty pozemných a inžinierskych stavieb rôzneho účelu a veľkosti, súborov stavieb až po rozsiahle územné celky v rôznom kontexte. Nadobudne schopnosti skladať rôznorodé prvky a zosúladiť rôzne, mnohokrát protichodné požiadavky do fungujúceho harmonického priestorového celku. Osvojí si princípy umenia architektúry a urbanizmu, ktoré zahrňujú tvorbu, navrhovanie, plánovanie, riadenie, realizovanie a prezentovanie nových diel, starostlivosť o ochranu prírody a pamiatok a zaoberajú sa kultúrnymi, etickými, estetickými, sociálno-ekonomickými a environmentálnymi podmienkami, ktoré ovplyvňujú kvalitu života jedinca a širšej spoločnosti a majú dopad na udržateľnosť civilizačnej úrovne spoločnosti a života na Zemi.</w:t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má všeobecné vedomosti, zručnosti a kompetencie potrebné na samostatnú architektonickú a urbanistickú tvorbu. Disponuje s vedomosťami na úrovni syntézy zo základov architektonického a urbanistického navrhovania. Vie sa orientovať v typológii obytných a občianskych budov, výrobných a inžinierskych stavieb a ich vnútorného prostredia. Dokáže používať základy záhradnej a krajinnej architektúry ako aj základné princípy územného plánovania. Má vedomosti z technicko-konštrukčných disciplín, o stavebných materiáloch vrátane alternatívnych a o stavebných technológiách. Má primerané znalosti dejín výtvarného umenia a architektúry, dejín stavby miest a všeobecné znalosti zo spoločenských a humanitných disciplín súvisiacich so študijným odborom architektúra a urbanizmus. Je schopný využívať a uplatňovať manažérske zručnosti, udržiavať kontakt s najnovším vývojom architektúry a urbanizmu, pokračovať vo vlastnom profesionálnom rozvoji.</w:t>
        <w:br/>
        <w:t>Má zručnosti v narábaní s jednotlivými prvkami architektonickej kompozície, typológie a vie tvorivo pracovať s nimi v procese architektonického a urbanistického navrhovania a projektovania. Pri návrhu konkrétnych zadaní dokáže aplikovať znalosti z oblasti architektonického a urbanistického navrhovania, z oblasti konštrukčno-technických disciplín. Dokáže použiť informácie o koordinácii práce špecialistov participujúcich disciplín a v primeranej miere ich využije pri spracovaní vlastných návrhov.  Má dostatočné vedomosti pre analýzu problémov a ich následnú špecifikáciu pre príslušnú participujúcu profesiu. Pri navrhovaní využíva vedomosti o metódach a technikách architektonickej a urbanistickej tvorby, o metódach tvorby s počítačovou podporou a o základných právnych aspektoch súvisiacich s architektonickou a urbanistickou tvorbou. Je kompetentný tvorivo reagovať na podnety a problémy z rôznych disciplín v procese tvorby.</w:t>
        <w:br/>
        <w:t>Absolvent je schopný pod odborným dohľadom vyhotovovať jednoduchšie architektonické alebo urbanistické návrhy. Samostatne dokáže vyhotoviť projektovú dokumentáciu stavieb nevyžadujúcu územné a stavebné konanie a v primeranom rozsahu realizačnú dokumentáciu architektonicko-stavebnej časti projektu. Je pripravený samostatne vyhotovovať a vyhodnocovať podklady pre potreby architektonického alebo urbanistického navrhovania, vyhotovovať čiastkové architektonické a urbanistické návrhy a projekty počítačovými a manuálnymi technikami. Absolvent disponuje schopnosťou prezentovať svoje návrhy a zdôvodňovať ich riešenia odbornému publiku. Je schopný efektívne pracovať ako člen tímu.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Urbanista</w:t>
        <w:br/>
        <w:t xml:space="preserve">          Architekt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Absolventi sa uplatnia, ako pomocní architekti v architektonických kanceláriách,, alebo ako stavebný dozor.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Všetci absolventi študijného programu pokračujú v štúdiu na vyššom stupni štúdia v rovnakom študijnom odbore.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Nakoľko 100% absolventov 1. stupňa štúdia pokračuje na 2. stupni,  toto kritérium v prípade 1.stupňa nie je relevantné.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https://maisportal.tuke.sk/portal/studijneProgramy.mais?spsId=49669380&amp;arksId=47507289&amp;fakultaId=6881&amp;lang=sk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https://maisportal.tuke.sk/portal/studijneProgramy.mais?spsId=49669380&amp;arksId=47507289&amp;fakultaId=6881&amp;lang=sk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https://fu.tuke.sk/wps/portal/fu/studium/casovy-harmonogram-studia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arch. Peter Pásztor,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peter.pasztor@tuke.sk,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$model.sp.guarantees[0].phone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arch. Peter Pásztor, PhD., peter.pasztor@tuke.sk, ${guarantee.phone}</w:t>
        <w:br/>
        <w:t xml:space="preserve">          doc. Ing. Ján Kanócz, CSc., jan.kanocz@tuke.sk, ${guarantee.phone}</w:t>
        <w:br/>
        <w:t xml:space="preserve">          doc. Ing. arch. Adriana Priatková, PhD., adriana.priatkova@tuke.sk, ${guarantee.phone}</w:t>
        <w:br/>
        <w:t xml:space="preserve">          doc. Ing. arch. Lenka Kabošová, PhD., lenka.kabosova@tuke.sk, ${guarantee.phone}</w:t>
        <w:br/>
        <w:t xml:space="preserve">          Ing. arch. Tomáš Boroš, ArtD., tomas.boros@tuke.sk, +421 55 6022247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arch. Peter Pásztor, PhD.,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https://res.tuke.sk/api/vupch/538/export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Kanócz, CSc.,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https://res.tuke.sk/api/vupch/1046/export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arch. Adriana Priatková,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https://res.tuke.sk/api/vupch/576/export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arch. Lenka Kabošová,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https://res.tuke.sk/api/vupch/31737/export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Ing. arch. Tomáš Boroš, ArtD.,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https://res.tuke.sk/api/vupch/53058/export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https://maisportal.tuke.sk/portal/studijneProgramy.mais?spsId=49669380&amp;arksId=47507289&amp;fakultaId=6881&amp;lang=sk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Daniel Helcmanovský, daniel.helcmansky@tuke.sk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arch. Miroslava Javoríková,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miroslava.javorikova@tuke.sk,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$model.sp.studyAdvisor.phone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OŠP využíva v súčasnosti priestory v Košiciach: v areáli TU v Košiciach na Watsonovej č.4 (W4), priestory v budovách v areáli TU v Košiciach na ul. Vysokoškolskej č. 4 (V4),  
Priestory FU TUKE pre prednášky, semináre, ateliérovú tvorbu, cvičeni:  
Poslucháreň F13 / W4-1.posch.: Projekčná technika, interaktívna a biela tabuľa, prezentačný PC s príslušným softvérom (SW) a s pripojením na internet. Kapacita 60 miest. 
Poslucháreň W2 / W4-prízemie: Projekčná technika, Kapacita 30 miest.
Ateliér  / W4-3.posch.: Projekčná technika, prezentačný PC s príslušným softvérom (SW) a s pripojením na internet. Kapacita 16 miest
Ateliér  / W4-3.posch.: Prezentačný PC s príslušným softvérom (SW) a s pripojením na internet. Kapacita 16 miest
Ateliér  / W4-3.posch.:: Prezentačný PC s príslušným softvérom (SW) a s pripojením na internet. Kapacita 16 miest
Ateliér  / W4-3.posch.: Prezentačný PC s príslušným softvérom (SW) a s pripojením na internet. Kapacita 16 miest
Ateliér  / W4-3.posch.:: Projekčná technika, prezentačný PC s pripojením na internet, 8× PC s pripojením na internet, PC sú vybavené SW MS Office, Adobe Design Collection, Kapacita 8 miest.
Kresliareň /  – 1. posch. Projekčná technika a maliarské tojany a maliarske lavičky. Kapacita 30 miest
Modelárske  dielne/ V4/ suterén:  spracovanie dreva, plastu a povrchové úpravy a modelovanie mierkových modelov, modeláreň, sádrovňa a lamináreň,
ROBLAB / W4- suterén    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https://roblab.ka.fu.tuke.sk/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Podprobný rozpis miestností na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https://maisportal.tuke.sk/portal/miestnosti.mais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Foto a tabuľka: 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https://dusan.such.website.tuke.sk/nextcloud/index.php/s/KYeRp39p63XKPba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Knižničné služby sú sústredené v Univerzitnej knižnici (UK)Technickej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
Fakulta umení má vo svojich priestoroch tiež vlastnú príručnú knižnicu pre prezenčné štúdium literatúry z oblasti umenia, architektúry a urbanizmu.
Katedra AaU Fakulty umení TUKE má špecializované laboratóriá s potrebným technickým a technologickým vybavením pre študijný program  na to, aby bolo možné uskutočňovať a rozvíjať hodnotený študijný program a splniť jeho ciele v oblasti vzdelávania. Okrem dotácii z rozpočtu TUKE významnú časť materiálneho, technického a informačného zabezpečenia Katedry KAaU sa podarilo získať najmä z finančných prostriedkov pridelených na domáce a zahraničné granty a z podnikateľskej činnosti pracovníkov katedry.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https://www.svkk.sk/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Vzhľadom na charakter štúdia  a  vzdelávania sa v študijnom programe pre študentov architektúry a urbanizmu sa takáto forma v súčasnosti nevyužíva, nakoľko nie je potrebná.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Vzhľadom na charakter štúdia  a  vzdelávania sa v študijnom programe pre študentov architektúry a urbanizmu sa takáto forma v súčasnosti nevyužíva, nakoľko nie je potrebná.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Postupuje sa podľa organizačných pokynov vydaných rektorom TUKE a dekanom FU TUKE.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https://tuke.sk/wps/portal/tuke/university/news/koronavirus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https://fu.tuke.sk/wps/portal/fu/fakulta/aktuality/opatrenia-na-fu-tuke-pre-ak-rok-2021-2022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https://fu.tuke.sk/wps/wcm/connect/fu.tuke.sk20140/f90e28c6-52fc-40bf-a4d9-a6f9487e65cf/aktualizacia_opatreni_fu_tuke_30_5_2022.pdf?MOD=AJPERES&amp;CVID=o3X4QV6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Zoznam zmluvnych partnerov Fakulty umení: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https://dusan.such.website.tuke.sk/nextcloud/index.php/s/keBcpyjFbAFyHWm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Formulare TUKE pre partnerov: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https://dusan.such.website.tuke.sk/nextcloud/index.php/s/LAQ6m33kzAeajEr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Okrem uvedených partnerov fakulty Katedra architektúry spolupracuje viacerími samosprávami, organizáciami a firmamy. Ich zoznam je uvedený v prílohe.
Link.: 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https://dusan.such.website.tuke.sk/nextcloud/index.php/s/RtEt659teRRAAf2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49669380&amp;arksId=47507289&amp;fakultaId=6881&amp;lang=sk" TargetMode="External" Type="http://schemas.openxmlformats.org/officeDocument/2006/relationships/hyperlink"/><Relationship Id="rId17" Target="https://maisportal.tuke.sk/portal/studijneProgramy.mais?spsId=49669380&amp;arksId=47507289&amp;fakultaId=6881&amp;lang=sk" TargetMode="External" Type="http://schemas.openxmlformats.org/officeDocument/2006/relationships/hyperlink"/><Relationship Id="rId18" Target="https://fu.tuke.sk/wps/portal/fu/studium/casovy-harmonogram-studia" TargetMode="External" Type="http://schemas.openxmlformats.org/officeDocument/2006/relationships/hyperlink"/><Relationship Id="rId19" Target="https://res.tuke.sk/api/vupch/538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1046/export" TargetMode="External" Type="http://schemas.openxmlformats.org/officeDocument/2006/relationships/hyperlink"/><Relationship Id="rId21" Target="https://res.tuke.sk/api/vupch/576/export" TargetMode="External" Type="http://schemas.openxmlformats.org/officeDocument/2006/relationships/hyperlink"/><Relationship Id="rId22" Target="https://res.tuke.sk/api/vupch/31737/export" TargetMode="External" Type="http://schemas.openxmlformats.org/officeDocument/2006/relationships/hyperlink"/><Relationship Id="rId23" Target="https://res.tuke.sk/api/vupch/53058/export" TargetMode="External" Type="http://schemas.openxmlformats.org/officeDocument/2006/relationships/hyperlink"/><Relationship Id="rId24" Target="https://maisportal.tuke.sk/portal/studijneProgramy.mais?spsId=49669380&amp;arksId=47507289&amp;fakultaId=6881&amp;lang=sk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fu.tuke.sk/wps/portal/fu/kontakt/studijne-oddelenie" TargetMode="External" Type="http://schemas.openxmlformats.org/officeDocument/2006/relationships/hyperlink"/><Relationship Id="rId27" Target="https://roblab.ka.fu.tuke.sk/" TargetMode="External" Type="http://schemas.openxmlformats.org/officeDocument/2006/relationships/hyperlink"/><Relationship Id="rId28" Target="https://maisportal.tuke.sk/portal/miestnosti.mais" TargetMode="External" Type="http://schemas.openxmlformats.org/officeDocument/2006/relationships/hyperlink"/><Relationship Id="rId29" Target="https://dusan.such.website.tuke.sk/nextcloud/index.php/s/KYeRp39p63XKPba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" TargetMode="External" Type="http://schemas.openxmlformats.org/officeDocument/2006/relationships/hyperlink"/><Relationship Id="rId31" Target="https://www.svkk.sk/" TargetMode="External" Type="http://schemas.openxmlformats.org/officeDocument/2006/relationships/hyperlink"/><Relationship Id="rId32" Target="https://tuke.sk/wps/portal/tuke/university/news/koronavirus" TargetMode="External" Type="http://schemas.openxmlformats.org/officeDocument/2006/relationships/hyperlink"/><Relationship Id="rId33" Target="https://fu.tuke.sk/wps/portal/fu/fakulta/aktuality/opatrenia-na-fu-tuke-pre-ak-rok-2021-2022" TargetMode="External" Type="http://schemas.openxmlformats.org/officeDocument/2006/relationships/hyperlink"/><Relationship Id="rId34" Target="https://fu.tuke.sk/wps/wcm/connect/fu.tuke.sk20140/f90e28c6-52fc-40bf-a4d9-a6f9487e65cf/aktualizacia_opatreni_fu_tuke_30_5_2022.pdf?MOD=AJPERES&amp;CVID=o3X4QV6" TargetMode="External" Type="http://schemas.openxmlformats.org/officeDocument/2006/relationships/hyperlink"/><Relationship Id="rId35" Target="https://dusan.such.website.tuke.sk/nextcloud/index.php/s/keBcpyjFbAFyHWm" TargetMode="External" Type="http://schemas.openxmlformats.org/officeDocument/2006/relationships/hyperlink"/><Relationship Id="rId36" Target="https://dusan.such.website.tuke.sk/nextcloud/index.php/s/LAQ6m33kzAeajEr" TargetMode="External" Type="http://schemas.openxmlformats.org/officeDocument/2006/relationships/hyperlink"/><Relationship Id="rId37" Target="https://dusan.such.website.tuke.sk/nextcloud/index.php/s/RtEt659teRRAAf2" TargetMode="External" Type="http://schemas.openxmlformats.org/officeDocument/2006/relationships/hyperlink"/><Relationship Id="rId38" Target="https://studium.tuke.sk/wps/portal/studium/univerzita/info-boxy-texty/studentsky-zivot" TargetMode="External" Type="http://schemas.openxmlformats.org/officeDocument/2006/relationships/hyperlink"/><Relationship Id="rId39" Target="https://ktv.tuke.sk/wps/portal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www.tuke.sk/wps/portal/tuke/university/usek-pre-zahranicne-vztahy/referat-mobilitnych-programov" TargetMode="External" Type="http://schemas.openxmlformats.org/officeDocument/2006/relationships/hyperlink"/><Relationship Id="rId41" Target="https://erasmus.tuke.sk" TargetMode="External" Type="http://schemas.openxmlformats.org/officeDocument/2006/relationships/hyperlink"/><Relationship Id="rId42" Target="https://fu.tuke.sk/wps/portal/fu/studium/informacie-o-studiu" TargetMode="External" Type="http://schemas.openxmlformats.org/officeDocument/2006/relationships/hyperlink"/><Relationship Id="rId43" Target="https://fu.tuke.sk/wps/portal/fu/studium/informacie-o-studiu" TargetMode="External" Type="http://schemas.openxmlformats.org/officeDocument/2006/relationships/hyperlink"/><Relationship Id="rId44" Target="https://fu.tuke.sk/wps/portal/fu/studium/informacie-o-studiu" TargetMode="External" Type="http://schemas.openxmlformats.org/officeDocument/2006/relationships/hyperlink"/><Relationship Id="rId45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6" Target="https://www.tuke.sk/wps/portal/tuke/studies/studentske-ankety" TargetMode="External" Type="http://schemas.openxmlformats.org/officeDocument/2006/relationships/hyperlink"/><Relationship Id="rId47" Target="https://tuke.sk/wps/portal/tuke/university/vnutorny-system-kvality/studijne-programy" TargetMode="External" Type="http://schemas.openxmlformats.org/officeDocument/2006/relationships/hyperlink"/><Relationship Id="rId48" Target="https://www.tuke.sk/wps/portal/tuke/studies/legislativa-studia" TargetMode="External" Type="http://schemas.openxmlformats.org/officeDocument/2006/relationships/hyperlink"/><Relationship Id="rId49" Target="https://tuke.sk/wps/portal/tuke/university/legislativa-univerzity/interne-predpisy-a-smernice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