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priemyselná mechatronika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strojárstvo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3.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externá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Strojnícka fakulta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 xml:space="preserve">1. Analysis and synthesis in the design of magnetic switching electric machines / Nikolay Shaitor, Michal Kelemen, Boris Yakimovich - 2021. In: Actuators. - Bazilej (Švajčiarsko) : Multidisciplinary Digital Publishing Institute Roč. 10, č. 7 (2021), s. [1-17] [online]. - ISSN 2076-0825 (online) </w:t>
        <w:br/>
        <w:t/>
        <w:br/>
        <w:t xml:space="preserve">2. Measuring Procedures for Evaluating the Surface Roughness of Machined Parts / Katarína Paľová, Tatiana Kelemenová, Michal Kelemen - 2023. In: Applied sciences. - Bazilej (Švajčiarsko) : Multidisciplinary Digital Publishing Institute Roč. 13, č. 16 (2023), s. [1-48] [online]. - ISSN 2076-3417 (online) </w:t>
        <w:br/>
        <w:t/>
        <w:br/>
        <w:t xml:space="preserve">3. Methodology of contact stress analysis of gearwheel by means of experimental photoelasticity / Peter Frankovský ... [et al.] - 2016. In: Applied Optics. Vol. 55, no. 18 (2016), p. 4856-4864. - ISSN 1559-128X </w:t>
        <w:br/>
        <w:t/>
        <w:br/>
        <w:t xml:space="preserve">4. A novel approach for a inverse kinematics solution of a redundant manipulator / Michal Kelemen ... [et al.] - 2018. In: Applied Sciences. - Basel (Švajčiarsko) : MDPI Roč. 8, č. 11 (2018), s. 1-20 [online]. - ISSN 2076-3417 </w:t>
        <w:br/>
        <w:t/>
        <w:br/>
        <w:t xml:space="preserve">5. In-pipe micromachine locomotion via the inertial stepping principle / Young-Jin Yum ... [et al.] - 2014. In: Journal of mechanical science and technology. Vol. 28, no. 8 (2014), p. 3237-3247. - ISSN 1738-494X </w:t>
        <w:br/>
        <w:t/>
        <w:br/>
        <w:t xml:space="preserve">6. An Adaptive Neuro-Fuzzy Control of Pneumatic Mechanical Ventilator / Jozef Živčák ... [et al.] - 2021. In: Actuators. - Bazilej (Švajčiarsko) : Multidisciplinary Digital Publishing Institute Roč. 10, č. 3 (2021), s. [1-23] [online]. - ISSN 2076-0825 (online) </w:t>
        <w:br/>
        <w:t/>
        <w:br/>
        <w:t xml:space="preserve">7. Investigation of snake robot locomotion possibilities in a pipe / Ivan Virgala ...[et al.] - 2020. In: Symmetry : Open Access Journal. - Basel (Švajčiarsko) : Multidisciplinary Digital Publishing Institute Roč. 12, č. 6 (2020), s. 1-25 [online]. - ISSN 2073-8994 (online) </w:t>
        <w:br/>
        <w:t/>
        <w:br/>
        <w:t xml:space="preserve">8. Improved Pose Estimation of Aruco Tags Using a Novel 3D Placement Strategy / Petr Oščádal ... [et al.] - 2020. In: Sensors. - Bazilej (Švajčiarsko) : Multidisciplinary Digital Publishing Institute Roč. 20, č. 17 (2020), s. [1-16] [online, print]. - ISSN 1424-3210 </w:t>
        <w:br/>
        <w:t/>
        <w:br/>
        <w:t xml:space="preserve">9. Specific Problems in Measurement of Coefficient of Friction Using Variable Incidence Tribometer / Tatiana Kelemenová ... [et al.] - 2020. In: Symmetry : Open Access Journal. - Basel (Švajčiarsko) : Multidisciplinary Digital Publishing Institute Roč. 12, č. 8 (2020), s. 1-20 [online]. - ISSN 2073-8994 (online) </w:t>
        <w:br/>
        <w:t/>
        <w:br/>
        <w:t xml:space="preserve">10. A snake robot for locomotion in a pipe using trapezium-like travelling wave / Ivan Virgala ... [et al.] - 2021. In: Mechanism and machine theory : tmm ; design theory and methodology ; haptics and human-machine-interfaces .... - New York (USA) : Elsevier Science č. 158 (2021), s. [1-21] [print]. - ISSN 0094-114X </w:t>
        <w:br/>
        <w:t/>
        <w:br/>
        <w:t xml:space="preserve">11. Motion control of nonholonomic robots at low speed / Ľubica Miková ... [et al.] - 2020. In: International Journal of Advanced Robotic Systems. - Viedeň (Rakúsko) : Technische Universität Wien Roč. 17, č. 1 (2020), s. 1-12 [print, online]. - ISSN 1729-8806 </w:t>
        <w:br/>
        <w:t/>
        <w:br/>
        <w:t xml:space="preserve">12. Application of shape memory alloy (SMA) as actuator / Ľubica Miková ... [et al.] - 2015. In: Metalurgija. Vol. 54, no. 1(2015), p. 169-172. - ISSN 0543-5846 </w:t>
        <w:br/>
        <w:t/>
        <w:br/>
        <w:t xml:space="preserve">13. Pneumatic bellows actuated parallel platform control with adjustable stiffness using a hybrid feed-forward and variable gain integral controller / Martin Varga ... [et al.] - 2023. In: Applied sciences. - Bazilej (Švajčiarsko) : Multidisciplinary Digital Publishing Institute Roč. 13, č. 24 (2023), s. [1-23] [online]. - ISSN 2076-3417 (online) </w:t>
        <w:br/>
        <w:t/>
        <w:br/>
        <w:t xml:space="preserve">14. Mathematical modeling of robotic locomotion systems / Erik Prada ... [et al.] - 2024. In: Symmetry. - Bazilej (Švajčiarsko) : Multidisciplinary Digital Publishing Institute Roč. 16, č. 3 (2024), s. [1-33] [online]. - ISSN 2073-8994 (online) </w:t>
        <w:br/>
        <w:t/>
        <w:br/>
        <w:t xml:space="preserve">15. An inspection of pipe by snake robot / František Trebuňa ... [et al.] - 2016. In: International Journal of Advanced Robotic Systems. Vol. 13, no. 5 (2016), p. 1-12. - ISSN 1729-8814 </w:t>
        <w:br/>
        <w:t/>
        <w:br/>
        <w:t xml:space="preserve">16. Testing of Selected Accuracy Parameters for the Single Axis Positioner at the Automated Workplace / Marek Vagaš ... [et al.] </w:t>
        <w:br/>
        <w:t/>
        <w:br/>
        <w:t xml:space="preserve">17. The view to the current state of robotics / Marek Vagaš ... [et al.] - 2012. In: Advanced Materials Research : International Conference on Advanced Materials Research (ICAMR 2012). - Switzerland : Trans Tech Publication, 2011 Vol. 463-464 (2012), p. 1711-1714. - ISBN 978-3-03785-363-4 - ISSN 1022-6680 </w:t>
        <w:br/>
        <w:t/>
        <w:br/>
        <w:t xml:space="preserve">18. Center of gravity coordinates estimation based on an overall brightness average determined from the 3d vision system / Radovan Holubek, Marek Vagaš </w:t>
        <w:br/>
        <w:t/>
        <w:br/>
        <w:t xml:space="preserve">19. Principles of Formation of Flexible Manufacturing Systems / Mikuláš Hajduk ... [et al.] - 2018. In: Tehnički Vjesnik = Technical Gazette = TV-TG. - Slavonski Brod (Chorvátsko) : Strojarski fakultet Roč. 25, č. 3 (2018), s. 649-654 [print]. - ISSN 1330-3651 </w:t>
        <w:br/>
        <w:t/>
        <w:br/>
        <w:t xml:space="preserve">20. Design of modular gripper for industrial robot / Marek Vagaš, Jozef Varga - 2013. In: Applied Mechanics and Materials : ICMERA 2013 : International Conference on Smart Systems in all Fields of the Life-Aerospace, Robotics, Mechanical Engineering, Manufacturing Systems, Biomechatronics, Neurorehabilitation and Human Motricities : Bucharest, Romania : 24-27 October 2013. Vol. 436 (2013), p. 351-357. - ISBN 978-303785898-1 - ISSN 1660-9336 </w:t>
        <w:br/>
        <w:t/>
        <w:br/>
        <w:t xml:space="preserve">21. Information technology and pragmatic analysis / Pavol Božek ... [et al.] - 2018. In: Computing and Informatics : Computers and Artificial Intelligence. - Bratislava (Slovensko) : Ústav informatiky Roč. 37, č. 4 (2018), s. 1011-1036 [print]. - ISSN 1335-9150 </w:t>
        <w:br/>
        <w:t/>
        <w:br/>
        <w:t xml:space="preserve">22. Robot vision ultra-wideband wireless sensor in non-cooperative industrial environments / Pavol Galajda ... [et al.] - 2018. In: International Journal of Advanced Robotic Systems. Vol. 15, no. 4 (2018), p. 1–12. - ISSN 1729-8814 </w:t>
        <w:br/>
        <w:t/>
        <w:br/>
        <w:t xml:space="preserve">23. Testing of transfer signal quality of RF-based system / Patrik Šarga, Róbert Rákay, Alena Galajdová - 2023. In: MM Science Journal. - Praha (Česko) : MM Publishing Roč. 2023-October (2023), s. 6644-6649 [print, online]. - ISSN 1803-1269 </w:t>
        <w:br/>
        <w:t/>
        <w:br/>
        <w:t xml:space="preserve">24. Complex Analysis of the Necessary Geometric Parameters  of the Tested Component in the Ring-Core Evaluation Process / Patrik Šarga ... [et al.] - 2022. In: Measurement Science Review : Journal of Institute of Measurement Science of Slovak Academy of Sciences. - Bratislava (Slovensko) : Ústav merania Roč. 22, č. 3 (2022), s. 136-142 [online]. - ISSN 1335-8871 (online) </w:t>
        <w:br/>
        <w:t/>
        <w:br/>
        <w:t xml:space="preserve">25. Empowering lower limbs exoskeletons: state-of-the-art / Alávka Vitecková ... [et al.] - 2018. In: Robotica : international journal of information, education and research in robotics and artificial intelligence. Roč. 36, č. 11 (2018), s. 1743-1756 [print]. - ISSN 0263-5747 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A+ (4.76)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