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Fakulta baníctva, ekológie, riadenia a geotechnológií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Letná 1/9, 042 00 Košice-Sever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banské meračstvo a geodézia,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182942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3.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864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získavanie a spracovanie zemských zdrojov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PhD.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denná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anglický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3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/>
        <w:t>Študijný program Banské meračstvo a geodézia, 3. stupeň, forma denná je akreditovaný v študijnom odbore získavanie a spracovanie zemských zdrojov. Študijný program Banské meračstvo a geodézia vychováva odborníkov, potrebných pri plnení úloh štátu, rezortu geodézie, kartografie a katastra, stavebníctva a priemyslu. Absolvent ovláda vedecké metódy výskumu a vývoja v banskom meračstve a geodézii s orientáciou napr. na vývoj terestrických, fotogrametrických, družicových, astronomických a ostatných kozmických meračských technológií a prístrojov, špeciálnych meračských prác v baníctve a stavebníctve so zreteľom na podzemné staviteľstvo, vývoj a tvorbu kartografických prác, tvorbu 3D súradnicových systémov, aplikáciu vedeckých výstupov v banskom meračstve a geodézii do GIS lokálneho a globálneho charakteru, riešenie meračských úloh.</w:t>
        <w:br/>
        <w:t>Vedecká časť je zameraná na:</w:t>
        <w:br/>
        <w:t>-	Výskum aktuálneho otvoreného vedeckého problému z odboru.</w:t>
        <w:br/>
        <w:t>-	Zásady vedeckej práce, väzby výskum-vývoj-výroba-použitie, vedecké formulovanie problému (technické zadanie), právne a environmentálne aspekty nových produktov, etické   a spoločenské stránky vedeckej práce, prezentácia výsledkov, rozvoj študijného odboru   a prínos pre prax.</w:t>
        <w:br/>
        <w:t/>
        <w:br/>
        <w:t>Banské meračstvo a geodézia sú súčasťou megatrendu tretieho milénia orientovaného hlavne na GIS. Pre súčasnú dekádu milénia sa predpokladá aspoň taká potreba profesionálov a vedcov v banskom meračstve a geodézii, ako si vyžadovali GIS za posledných desať rokov.</w:t>
        <w:br/>
        <w:t xml:space="preserve">V obsahu študijného programu je vymedzené nasledujúce jadro znalostí, ktorého nosné témy študijného programu Banské meračstvo a geodézia sú rozdelené do časti: </w:t>
        <w:br/>
        <w:t xml:space="preserve">•  študijnej  </w:t>
        <w:br/>
        <w:t>•  vedeckej.</w:t>
        <w:br/>
        <w:t xml:space="preserve">Študijná časť obsahuje  len  rámcové  témy,  ktoré  si  študent  volí  s  ohľadom  na  oblasť  dizertačnej  práce.  Vedecká   časť   obsahu   študijného   programu   Banské   meračstvo   a   geodézia   spočíva  v nasledujúcich základných princípoch vedeckej činnosti: </w:t>
        <w:br/>
        <w:t xml:space="preserve">•  výskumné riešenia špecifikovaného vedeckého problému v odbore, </w:t>
        <w:br/>
        <w:t xml:space="preserve">•  schopnosť formulovať vedecký projekt a obhájiť jeho opodstatnenosť, </w:t>
        <w:br/>
        <w:t xml:space="preserve">•  schopnosť obhajovať výsledky vedeckých riešení a postupov, </w:t>
        <w:br/>
        <w:t xml:space="preserve">•  schopnosť prezentovať výsledky v domácej aj svetovej odbornej tlači, </w:t>
        <w:br/>
        <w:t>•  schopnosť formulovať praktické aspekty riešenia a jeho prínos pre prax.</w:t>
        <w:br/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Absolvent ovláda vedecké metódy výskumu a vývoja v banskom meračstve a geodézii s orientáciou napr. na vývoj terestrických, fotogrametrických, družicových, astronomických a ostatných kozmických meračských technológií a prístrojov, špeciálnych meračských prác v baníctve a stavebníctve so zreteľom na podzemné staviteľstvo, vývoj a tvorbu kartografických prác, tvorbu 3D súradnicových systémov, aplikáciu vedeckých výstupov v banskom meračstve a geodézii do GIS lokálneho a globálneho charakteru,  riešenie meračských postupov v geotechnike, evidencii nehnuteľností a pod.</w:t>
        <w:br/>
        <w:t/>
        <w:br/>
        <w:t>Teoretické vedomosti (3. stupeň):</w:t>
        <w:br/>
        <w:t>Absolvent študijného programu Banské meračstvo a geodézia vedecky báda a prináša vlastné riešenia problémov v oblasti banského meračstva  a geodézie. Počas štúdia si osvojí zásady vedeckej práce, väzby výskum-vývoj-aplikácia, vedecké formulovanie problému (technické zadanie), právne a environmentálne aspekty nových produktov, etické a spoločenské stránky vedeckej práce, prezentáciu výsledkov, rozvoj študijného odboru a prínos pre prax.</w:t>
        <w:br/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Absolvent doktorandského študijného programu Banské meračstvo a geodézia je schopný:</w:t>
        <w:br/>
        <w:t>1. Preukázať vedomosti a chápanie širších súvislostí v odbore štúdia Získavanie a spracovanie zemských zdrojov, v študijnom programe Banské meračstvo a geodézia, ktoré nadväzujú na vedomosti získané počas štúdia inžinierskeho študujúceho programu Inžinierska geodézia a kataster nehnuteľností.</w:t>
        <w:br/>
        <w:t/>
        <w:br/>
        <w:t>2. Doktorand sa naučí charakterizovať a chápať fyzikálne javy a experimentálne poznatky o týchto javoch, hľadať adekvátne modely a nové aplikácie v špecifikovaných disciplínach, vo vede, výskume a praxi z oblasti technických a prírodovedných disciplín, z oblasti inžinierskej geodézie, banského meračstva, deformačnej analýzy, fotogrametrie, geodetických sietí, geografických informačných systémov, globálnej geodézie a geodynamiky, kartografie, katastera nehnuteľností, priemyselných vplyvov a ekológie a z oblasti spracovania a analýzy meraní a aplikovať ich pri riešení vedeckých úloh v odbore štúdia Získavanie a spracovanie zemských zdrojov, v študijnom programe Banské meračstvo a geodézia.</w:t>
        <w:br/>
        <w:t/>
        <w:br/>
        <w:t xml:space="preserve">3. Doktorandské štúdium umožní doktorandovi získať ucelené teoretické vedomosti a praktické skúsenosti a zvládnuť metodiky vedeckej práce, a pripraví ho na samostatnú vedeckú prácu v oblastiach výpočtu konštrukcií v celej škále činností. </w:t>
        <w:br/>
        <w:t/>
        <w:br/>
        <w:t>4. Absolventi tretieho stupňa študijného programu Banské meračstvo a geodézia v študijnom odbore Získavanie a spracovanie zemských zdrojov:</w:t>
        <w:br/>
        <w:t>-	dokážu analyzovať, optimalizovať, navrhovať, konštruovať a udržiavať rozsiahle technické riešenia zahŕňajúce širokú oblasť aplikovanej geodézie, kartografie a katastra,</w:t>
        <w:br/>
        <w:t>-	vykonávať výskum s vysokou mierou tvorivosti a samostatnosti,</w:t>
        <w:br/>
        <w:t>-	majú hlboké znalosti v oblasti získavania a spracovania zemských zdrojov v rámci študijného programu Banské meračstvo a geodézia, ktoré im umožňujúce riadiť vedecké a odborné tímy pracovníkov v tejto oblasti, samostatne viesť aj veľké projekty a prevziať zodpovednosť za komplexné riešenia,</w:t>
        <w:br/>
        <w:t>-	sú schopní vedeckého prístupu k riešeným problémom. Majú skúsenosti s formuláciou hypotéz, experimentálnym návrhom, overovaním hypotéz a analýzou získaných údajov,</w:t>
        <w:br/>
        <w:t>-	uplatňujú moderné metódy a techniky návrhu a vývoja v oblasti banského meračstva a geodézie,</w:t>
        <w:br/>
        <w:t>-	nachádzajú a prezentujú vlastné riešenia problémov pri výskume, vývoji v oblasti banského meračstva a geodézie</w:t>
        <w:br/>
        <w:t>-	tvorivo aplikujú získané poznatky v praxi,</w:t>
        <w:br/>
        <w:t>-	kriticky analyzujú a aplikujú celú paletu konceptov, princípov a praktík odboru v kontexte voľne definovaných problémov, pričom preukazujú efektívne rozhodovanie v súvislosti s výberom a použitím metód, technológií a prostriedkov,</w:t>
        <w:br/>
        <w:t>-	vedia zavádzať zložité technické riešenia, používať moderné metódy a prostriedky pri riešení problémov,</w:t>
        <w:br/>
        <w:t>-	sú schopní pracovať efektívne ako jednotlivec, ako člen a ako vedúci tímu,</w:t>
        <w:br/>
        <w:t>-	udržiavajú kontakt s moderným vývojom vo svojej disciplíne,</w:t>
        <w:br/>
        <w:t>-	riadia sa primeranými praktikami v súlade s profesionálnym, právnym a etickým rámcom disciplíny.</w:t>
        <w:br/>
        <w:t/>
        <w:br/>
        <w:t>Profilové predmety (budú neskôr označené v IS MAIS):</w:t>
        <w:br/>
        <w:t>⁻	Globálna geodézia a geodynamika (Bindzárová-Gergeľová)</w:t>
        <w:br/>
        <w:t>⁻	Deformačná analýza (Labant)</w:t>
        <w:br/>
        <w:t>⁻	Geografické informačné systémy (Blišťan)</w:t>
        <w:br/>
        <w:t>⁻	Spracovanie a analýza meraní (Labant)</w:t>
        <w:br/>
        <w:t>⁻	Priemyselné vplyvy a ekológia (Blišťan)</w:t>
        <w:br/>
        <w:t>⁻	Fotogrametria (Pukanská)</w:t>
        <w:br/>
        <w:t>⁻	Kartografia a kataster (Bindzárová-Gergeľová)</w:t>
        <w:br/>
        <w:t>⁻	Inžinierska geodézia (Kovanič)</w:t>
        <w:br/>
        <w:t>⁻	Banské meračstvo (Kovanič)</w:t>
        <w:br/>
        <w:t/>
        <w:br/>
        <w:t>Odborné vedomosti a zručnosti absolventa  inžinierskeho študujúceho programu Inžinierska geodézia a kataster nehnuteľností rozšírené o vedomosti získane v doktorandskom študijnom programe Banské meračstvo a geodézia:</w:t>
        <w:br/>
        <w:t>- metódy identifikácie vzdelávacích potrieb a stanovovanie cieľov</w:t>
        <w:br/>
        <w:t>- metodika vzdelávania odborných predmetov</w:t>
        <w:br/>
        <w:t>- motivačné metódy a postupy pre dosahovanie požadovaných študijných výsledkov</w:t>
        <w:br/>
        <w:t>- metódy hodnotenia, testovania a merania vo vzdelávaní</w:t>
        <w:br/>
        <w:t>- vysokoškolská pedagogika</w:t>
        <w:br/>
        <w:t>- metódy plánovania, organizácie a vyhodnocovania učebných činností študentov na seminároch a cvičeniach</w:t>
        <w:br/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Odborný asistent vysokej školy 8</w:t>
        <w:br/>
        <w:t xml:space="preserve">          Vysokoškolský učiteľ inde neuvedený</w:t>
        <w:br/>
        <w:t xml:space="preserve">          Autorizovaný geodet a kartograf 7</w:t>
        <w:br/>
        <w:t xml:space="preserve">          Inžinier geodet a kartograf 7</w:t>
        <w:br/>
        <w:t xml:space="preserve">          Riadiaci pracovník výskumnej inštitúcie</w:t>
        <w:br/>
        <w:t xml:space="preserve">          Geodet a kartograf (vedecký pracovník)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Rok: 2018
Zdroj: </w:t>
      </w:r>
      <w:hyperlink r:id="rId1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https://uplatnenie.sk/?degree=V%C5%A0&amp;vs=709000000&amp;faculty=709010000&amp;field=2102V00&amp;year=2018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Z dôvodu nízkeho počtu absolventov nie sú k dispozícii údaje o uplatnení.
Rok: 2019
Zdroj: </w:t>
      </w:r>
      <w:hyperlink r:id="rId1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https://uplatnenie.sk/?degree=V%C5%A0&amp;vs=709000000&amp;faculty=709010000&amp;field=2102V00&amp;year=2019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Z dôvodu nízkeho počtu absolventov nie sú k dispozícii údaje o uplatnení.
</w:t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1. Ing. Miroslav Šimčák, PhD. - konateľ - GEODETICS s.r.o. Košice</w:t>
        <w:br/>
        <w:t>2. Ing. Marek Kožarík, PhD. - konateľ - GEODETICA s.r.o., Košice</w:t>
        <w:br/>
        <w:t>3. Ing. Róbert Zdechovan, PhD. - riaditeľ - Obvodný pozemkový úrad v Rožňave, Rožňava</w:t>
        <w:br/>
        <w:t>4, Ing. Jana Sabolová, PhD. - vedúca oddelenia morfologického monitoringu vodných tokov, Slovenský vodohospodársky podnik, š.p.</w:t>
        <w:br/>
        <w:t>5. Ing. Eva Trembecká, PhD. - vedúca katastrálneho odboru, Okresný úrad Košice</w:t>
        <w:br/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Študijný program na FBERG TUKE je plne realizovaný s potrebami reálnej praxe. Keďže komunikácia medzi vzdelávaním na FBERG TUKE a zamestnávateľmi je kontinuálna, spočíva v riešení spoločných projektov so zapojením poslucháčov, v riešení výskumných úloh komerčného charakteru, využíva profesionálov firiem v procese ukončovania štúdia členstvom v komisiách pre štátne skúšky v príslušnom stupni vysokoškolského vzdelávania fakulta reflektuje požiadavky zamestnávateľov absolventov daného študijného programu a kritický ich hodnotí s trendmi v zahraničí.</w:t>
        <w:br/>
        <w:t/>
        <w:br/>
        <w:t/>
        <w:br/>
        <w:t xml:space="preserve">Partner – spoločnosť  GEODETICA s.r.o., Košice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GEODETICS s.r.o., Košice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Okresný úrad Košice, Košice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Slovenský vodohospodársky podnik, š.p., Košice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Hrdlička Holding, Košice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GEFOS SLOVAKIA, s.r.o.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PHOTOMAP, s.r.o., Košice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EUROVIA SK, a.s.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Progres CAD Engineering, s.r.o., Prešov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Komora geodetov a kartografov  vydáva súhlasné stanovisko k súladu získanej kvalifikácie absolventov Fakulty baníctva, ekológie, riadenia a geotechnológií Technickej univerzity v Košiciach (FBERG TUKE) so sektorovo-špecifickými požiadavkami na výkon povolania. </w:t>
        <w:br/>
        <w:t/>
        <w:br/>
        <w:t xml:space="preserve">Partner – spoločnosť  STRABAG, s.r.o. vydáva súhlasné stanovisko k súladu získanej kvalifikácie absolventov Fakulty baníctva, ekológie, riadenia a geotechnológií Technickej univerzity v Košiciach (FBERG TUKE) so sektorovo-špecifickými požiadavkami na výkon povolania. </w:t>
        <w:br/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https://maisportal.tuke.sk/portal/studijneProgramy.mais?spsId=49501995&amp;arksId=47507289&amp;fakultaId=6874&amp;lang=en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https://maisportal.tuke.sk/portal/studijneProgramy.mais?spsId=49501995&amp;arksId=47507289&amp;fakultaId=6874&amp;lang=en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Peter Blišťan, PhD., EMBA,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peter.blistan@tuke.sk,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+421 55 6022786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prof. Ing. Peter Blišťan, PhD., EMBA, peter.blistan@tuke.sk, +421 55 6022786</w:t>
        <w:br/>
        <w:t xml:space="preserve">          doc. Ing. Marcela Bindzárová Gergeľová, PhD., marcela.bindzarova.gergelova@tuke.sk, +421 55 6022919</w:t>
        <w:br/>
        <w:t xml:space="preserve">          doc. Ing. Ľudovít Kovanič, PhD., ludovit.kovanic@tuke.sk, +421 55 6022787</w:t>
        <w:br/>
        <w:t xml:space="preserve">          doc. Ing. Slavomír Labant, PhD., slavomir.labant@tuke.sk, +421 55 6022976</w:t>
        <w:br/>
        <w:t xml:space="preserve">          doc. Ing. Katarína Pukanská, PhD., katarina.pukanska@tuke.sk, +421 55 6022978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prof. Ing. Peter Blišťan, PhD., EMBA, </w:t>
      </w:r>
      <w:hyperlink r:id="rId2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https://res.tuke.sk/api/vupch/1820/export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Marcela Bindzárová Gergeľová, PhD.,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https://res.tuke.sk/api/vupch/8742/export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Ľudovít Kovanič, PhD.,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https://res.tuke.sk/api/vupch/9292/export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Slavomír Labant, PhD., </w:t>
      </w:r>
      <w:hyperlink r:id="rId2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https://res.tuke.sk/api/vupch/8040/export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Katarína Pukanská, PhD., </w:t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https://res.tuke.sk/api/vupch/1986/export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https://maisportal.tuke.sk/portal/studijneProgramy.mais?spsId=49501995&amp;arksId=47507289&amp;fakultaId=6874&amp;lang=en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7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Jabub Šveda, jakubsveda34@gmail.com, 910207606 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Peter Blišťan, PhD., EMBA,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peter.blistan@tuke.sk,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+421 55 6022786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https://fberg.tuke.sk/sk/studijne-oddelenie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Laboratórium pokročilých GIS technológií - LabGIS pre 15 študentov</w:t>
        <w:br/>
        <w:t>Technické vybavenie:</w:t>
        <w:br/>
        <w:t>- multimediálny projektor,</w:t>
        <w:br/>
        <w:t>- 15 ks PC + monitor pre študentov,</w:t>
        <w:br/>
        <w:t>- 1 ks PC + monitor pre učiteľa,</w:t>
        <w:br/>
        <w:t xml:space="preserve">- 1 ks 3D tlačiareň, </w:t>
        <w:br/>
        <w:t>- interaktívna tabuľa,</w:t>
        <w:br/>
        <w:t>- pracovné stoly a stoličky.</w:t>
        <w:br/>
        <w:t/>
        <w:br/>
        <w:t>Laboratórium Diaľkového prieskumu Zeme - Lab DPZ pre 16 študentov</w:t>
        <w:br/>
        <w:t>Technické vybavenie:</w:t>
        <w:br/>
        <w:t>- multimediálny projektor,</w:t>
        <w:br/>
        <w:t>- 16 ks PC + monitor pre študentov,</w:t>
        <w:br/>
        <w:t xml:space="preserve">- 1 ks PC + monitor pre učiteľa, </w:t>
        <w:br/>
        <w:t>- interaktívna tabuľa,</w:t>
        <w:br/>
        <w:t>- pracovné stoly a stoličky.</w:t>
        <w:br/>
        <w:t/>
        <w:br/>
        <w:t>Laboratórium pre analytické spracovanie a virtualizáciu priestorových dát - VR Lab pre 12 študentov</w:t>
        <w:br/>
        <w:t>Technické vybavenie:</w:t>
        <w:br/>
        <w:t>- multimediálny projektor,</w:t>
        <w:br/>
        <w:t xml:space="preserve">- 6 ks PC + monitor pre študentov, </w:t>
        <w:br/>
        <w:t>- 1 ks PC + monitor pre učiteľa,</w:t>
        <w:br/>
        <w:t>- pracovné stoly a stoličky.</w:t>
        <w:br/>
        <w:t/>
        <w:br/>
        <w:t>Geodetické laboratórium – P-3 pre 30 študentov</w:t>
        <w:br/>
        <w:t>Technické vybavenie:</w:t>
        <w:br/>
        <w:t>- multimediálny projektor,</w:t>
        <w:br/>
        <w:t xml:space="preserve">- 1 ks laptop pre učiteľa, </w:t>
        <w:br/>
        <w:t>- pilier s centračnou podložkou,</w:t>
        <w:br/>
        <w:t>- veľkoplošné pracovné stoly  a stoličky,</w:t>
        <w:br/>
        <w:t>- ostatné prístrojové vybavenie je umiestnené v sklade prístrojov a pomôcok a používa sa podľa potreby.</w:t>
        <w:br/>
        <w:t/>
        <w:br/>
        <w:t>Cvičná jama v hlavnej budove TUKE</w:t>
        <w:br/>
        <w:t>Technické vybavenie:</w:t>
        <w:br/>
        <w:t>- dve snímateľné zavesené olovnice (cca 30 mm),</w:t>
        <w:br/>
        <w:t>- stupnice pre sledovanie kyvov olovníc,</w:t>
        <w:br/>
        <w:t>- osvetľovacie zariadenie, veľkorozmerný meračský signál,</w:t>
        <w:br/>
        <w:t>- nivelačná čapová značka,</w:t>
        <w:br/>
        <w:t>- stabilizačné bodové pole na streche budovy a v suteréne.</w:t>
        <w:br/>
        <w:t/>
        <w:br/>
        <w:t>Laboratórium aplikovanej geomatiky</w:t>
        <w:br/>
        <w:t>Technické vybavenie:</w:t>
        <w:br/>
        <w:t>- 1 ks plotter HP DESIGN JET,</w:t>
        <w:br/>
        <w:t>- 1 ks Server + monitor - pre spracovanie dát z naklonomerov a GNSS antény,</w:t>
        <w:br/>
        <w:t>- 1 ks dátový server + monitor,</w:t>
        <w:br/>
        <w:t>- pracovné stoly a stoličky.</w:t>
        <w:br/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Prístup k študijnej literatúre študijného programu profilových predmetov a ďalších profilových predmetov podľa informačných listov predmetov je zabezpečený prostredníctvom: 
1.	</w:t>
      </w:r>
      <w:hyperlink r:id="rId29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2.	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https://maisportal.tuke.sk/portal/studijneProgramy.mais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3.	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https://moodle.tuke.sk/moodle/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4.	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http://www.lib.tuke.sk/Library/Home/DigitalLibrary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5.	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http://people.fberg.tuke.sk/es/index.php/monografie-vysokoskolske-ucebnice/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6.	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http://people.fberg.tuke.sk/es/index.php/cennik-skript/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V tomto študijnom programe sa neuplatňuje dištančné vzdelávanie. Výnimkou je zmena vzdelávania v dôsledku mimoriadnej situácie alebo núdzového stavu.</w:t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E-learnig prebieha prostredníctvom niekoľkých platforiem:
- MOODLE - </w:t>
      </w:r>
      <w:hyperlink r:id="rId3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https://moodle.tuke.sk/moodle/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- Microsoft Teams, Webex, kde sú zriadenie účty zamestnancov, resp. virtuálne učebne a prostredníctvom nich prebieha ONLINE výuka alebo kombinovaná výuka. 
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Postup prechodu z prezenčného na dištančné vzdelávanie determinuje situácia a podmienky, v rámci ktorých je potrebné tento postup realizovať. V prípade mimoriadnej situácie alebo núdzového stavu je takýto prechod nariadený príkazom rektora. Do úvahy prichádza aj prechod na kompletné dištančné vzdelávanie, t.j. prednášky, výpočtové alebo laboratórne cvičenia, a semináre v online forme bez rozdielu v počtoch absolvujúcich študentov. Prechod na hybridnú formu znamená online prednášky z dôvodu vyšších počtov študentov a cvičenia alebo semináre v prezenčnej forme pri rešpektovaní príslušných opatrení a obmedzení. Rozhodovanie o vhodnom postupe prebieha na úrovni fakultného kolégia dekana a následne vedenia ústavu.</w:t>
        <w:br/>
        <w:t xml:space="preserve"> </w:t>
        <w:br/>
        <w:t>V prípadoch, kedy situácia neumožňuje realizovať obhajoby záverečných prác štandardným spôsobom, na  TUKE sa uplatňuje  dostupnosti podkladov komisii pre obhajoby bakalárskej, inžinierskej a doktorandskej práce prostredníctvom audiovizuálneho prenosu.</w:t>
        <w:br/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1. Stavebná fakulta STU Bratislava, Katedra geodézie a Katedra globálnej geodézie a geoinformatiky - vybrané prednášky, účasť na štátnych skúškach, spolupráca pri príprave učebných textov.</w:t>
        <w:br/>
        <w:t>2. ČVUT v Prahe - vybrané prednášky pre študentov, účasť na štátnych skúškach, spolupráca pri príprave učebných textov.</w:t>
        <w:br/>
        <w:t>3. GEODETICA s.r.o., Košice  - organizovanie exkurzií pre študentov, pomoc pri riešení záverečných prác, exkurzie, prednášky na vybrané témy.</w:t>
        <w:br/>
        <w:t>4. Progres CAD Engineering, s.r.o, Prešov  - organizovanie exkurzií pre študentov, pomoc pri riešení záverečných prác, exkurzie, prednášky na vybrané témy.</w:t>
        <w:br/>
        <w:t>5. Doprastav a.s. - organizovanie exkurzií pre študentov, pomoc pri riešení záverečných prác, exkurzie, prednášky na vybrané témy.</w:t>
        <w:br/>
        <w:t>6. Geodetický a kartografický ústav Bratislava - organizovanie exkurzií pre študentov, pomoc pri riešení záverečných prác, exkurzie, prednášky na vybrané témy, poskytovanie dát pre vzdelávací proces.</w:t>
        <w:br/>
        <w:t>7. Úrad geodézie, kartografie a katastra Slovenskej republiky, Bratislava - organizovanie exkurzií pre študentov, pomoc pri riešení záverečných prác, exkurzie, prednášky na vybrané témy.</w:t>
        <w:br/>
        <w:t>8. Banský úrad - obvodný banský úrad Košice - pozvané prednášky na vybrané témy.</w:t>
        <w:br/>
        <w:t>9. Slovenská spoločnosť geodetov a kartografov - pozvané prednášky na vybrané témy, ako člen zamestnávateľského zväzu geodetov a kartografov je partner vlády SR a prenáša požiadavky geodetov do legislatívneho procesu</w:t>
        <w:br/>
        <w:t>10. GEOTECH Bratislava s.r.o. - poskytovanie geodetickej techniky, budovanie laboratórií ústavu, poskytovanie dát, pomoc pri riešení záverečných prác, prednášky na vybrané témy.</w:t>
        <w:br/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https://fberg.tuke.sk/sk/doktorandske-studijne-programy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https://fberg.tuke.sk/sk/doktorandske-studijne-programy-podmienky-prijatia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https://eprihlaska.tuke.sk/eprihlaska/pages/odosielatel/rozhranie_odosielatela.mais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uplatnenie.sk/?degree=V%C5%A0&amp;vs=709000000&amp;faculty=709010000&amp;field=2102V00&amp;year=2018" TargetMode="External" Type="http://schemas.openxmlformats.org/officeDocument/2006/relationships/hyperlink"/><Relationship Id="rId14" Target="https://uplatnenie.sk/?degree=V%C5%A0&amp;vs=709000000&amp;faculty=709010000&amp;field=2102V00&amp;year=2019" TargetMode="External" Type="http://schemas.openxmlformats.org/officeDocument/2006/relationships/hyperlink"/><Relationship Id="rId15" Target="https://tuke.sk/wps/portal/tuke/university/vnutorny-system-kvality/studijne-programy" TargetMode="External" Type="http://schemas.openxmlformats.org/officeDocument/2006/relationships/hyperlink"/><Relationship Id="rId16" Target="https://tuke.sk/wps/portal/tuke/university/legislativa-univerzity/interne-predpisy-a-smernice" TargetMode="External" Type="http://schemas.openxmlformats.org/officeDocument/2006/relationships/hyperlink"/><Relationship Id="rId17" Target="https://legislativa.tuke.sk/legislativa" TargetMode="External" Type="http://schemas.openxmlformats.org/officeDocument/2006/relationships/hyperlink"/><Relationship Id="rId18" Target="https://maisportal.tuke.sk/portal/studijneProgramy.mais?spsId=49501995&amp;arksId=47507289&amp;fakultaId=6874&amp;lang=en" TargetMode="External" Type="http://schemas.openxmlformats.org/officeDocument/2006/relationships/hyperlink"/><Relationship Id="rId19" Target="https://maisportal.tuke.sk/portal/studijneProgramy.mais?spsId=49501995&amp;arksId=47507289&amp;fakultaId=6874&amp;lang=en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fberg.tuke.sk/sk/harmonogram-studia" TargetMode="External" Type="http://schemas.openxmlformats.org/officeDocument/2006/relationships/hyperlink"/><Relationship Id="rId21" Target="https://res.tuke.sk/api/vupch/1820/export" TargetMode="External" Type="http://schemas.openxmlformats.org/officeDocument/2006/relationships/hyperlink"/><Relationship Id="rId22" Target="https://res.tuke.sk/api/vupch/8742/export" TargetMode="External" Type="http://schemas.openxmlformats.org/officeDocument/2006/relationships/hyperlink"/><Relationship Id="rId23" Target="https://res.tuke.sk/api/vupch/9292/export" TargetMode="External" Type="http://schemas.openxmlformats.org/officeDocument/2006/relationships/hyperlink"/><Relationship Id="rId24" Target="https://res.tuke.sk/api/vupch/8040/export" TargetMode="External" Type="http://schemas.openxmlformats.org/officeDocument/2006/relationships/hyperlink"/><Relationship Id="rId25" Target="https://res.tuke.sk/api/vupch/1986/export" TargetMode="External" Type="http://schemas.openxmlformats.org/officeDocument/2006/relationships/hyperlink"/><Relationship Id="rId26" Target="https://maisportal.tuke.sk/portal/studijneProgramy.mais?spsId=49501995&amp;arksId=47507289&amp;fakultaId=6874&amp;lang=en" TargetMode="External" Type="http://schemas.openxmlformats.org/officeDocument/2006/relationships/hyperlink"/><Relationship Id="rId27" Target="https://at.tuke.sk" TargetMode="External" Type="http://schemas.openxmlformats.org/officeDocument/2006/relationships/hyperlink"/><Relationship Id="rId28" Target="https://fberg.tuke.sk/sk/studijne-oddelenie" TargetMode="External" Type="http://schemas.openxmlformats.org/officeDocument/2006/relationships/hyperlink"/><Relationship Id="rId29" Target="http://www.lib.tuke.sk/" TargetMode="External" Type="http://schemas.openxmlformats.org/officeDocument/2006/relationships/hyperlink"/><Relationship Id="rId3" Target="styles.xml" Type="http://schemas.openxmlformats.org/officeDocument/2006/relationships/styles"/><Relationship Id="rId30" Target="https://maisportal.tuke.sk/portal/studijneProgramy.mais" TargetMode="External" Type="http://schemas.openxmlformats.org/officeDocument/2006/relationships/hyperlink"/><Relationship Id="rId31" Target="https://moodle.tuke.sk/moodle/" TargetMode="External" Type="http://schemas.openxmlformats.org/officeDocument/2006/relationships/hyperlink"/><Relationship Id="rId32" Target="http://www.lib.tuke.sk/Library/Home/DigitalLibrary" TargetMode="External" Type="http://schemas.openxmlformats.org/officeDocument/2006/relationships/hyperlink"/><Relationship Id="rId33" Target="http://people.fberg.tuke.sk/es/index.php/monografie-vysokoskolske-ucebnice/" TargetMode="External" Type="http://schemas.openxmlformats.org/officeDocument/2006/relationships/hyperlink"/><Relationship Id="rId34" Target="http://people.fberg.tuke.sk/es/index.php/cennik-skript/" TargetMode="External" Type="http://schemas.openxmlformats.org/officeDocument/2006/relationships/hyperlink"/><Relationship Id="rId35" Target="https://moodle.tuke.sk/moodle/" TargetMode="External" Type="http://schemas.openxmlformats.org/officeDocument/2006/relationships/hyperlink"/><Relationship Id="rId36" Target="https://studium.tuke.sk/wps/portal/studium/univerzita/info-boxy-texty/studentsky-zivot" TargetMode="External" Type="http://schemas.openxmlformats.org/officeDocument/2006/relationships/hyperlink"/><Relationship Id="rId37" Target="https://ktv.tuke.sk/wps/portal" TargetMode="External" Type="http://schemas.openxmlformats.org/officeDocument/2006/relationships/hyperlink"/><Relationship Id="rId38" Target="https://www.tuke.sk/wps/portal/tuke/university/usek-pre-zahranicne-vztahy/referat-mobilitnych-programov" TargetMode="External" Type="http://schemas.openxmlformats.org/officeDocument/2006/relationships/hyperlink"/><Relationship Id="rId39" Target="https://erasmus.tuke.sk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fberg.tuke.sk/sk/doktorandske-studijne-programy" TargetMode="External" Type="http://schemas.openxmlformats.org/officeDocument/2006/relationships/hyperlink"/><Relationship Id="rId41" Target="https://fberg.tuke.sk/sk/doktorandske-studijne-programy-podmienky-prijatia" TargetMode="External" Type="http://schemas.openxmlformats.org/officeDocument/2006/relationships/hyperlink"/><Relationship Id="rId42" Target="https://eprihlaska.tuke.sk/eprihlaska/pages/odosielatel/rozhranie_odosielatela.mais" TargetMode="External" Type="http://schemas.openxmlformats.org/officeDocument/2006/relationships/hyperlink"/><Relationship Id="rId43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44" Target="https://www.tuke.sk/wps/portal/tuke/studies/studentske-ankety" TargetMode="External" Type="http://schemas.openxmlformats.org/officeDocument/2006/relationships/hyperlink"/><Relationship Id="rId45" Target="https://tuke.sk/wps/portal/tuke/university/vnutorny-system-kvality/studijne-programy" TargetMode="External" Type="http://schemas.openxmlformats.org/officeDocument/2006/relationships/hyperlink"/><Relationship Id="rId46" Target="https://www.tuke.sk/wps/portal/tuke/studies/legislativa-studia" TargetMode="External" Type="http://schemas.openxmlformats.org/officeDocument/2006/relationships/hyperlink"/><Relationship Id="rId47" Target="https://tuke.sk/wps/portal/tuke/university/legislativa-univerzity/interne-predpisy-a-smernice" TargetMode="External" Type="http://schemas.openxmlformats.org/officeDocument/2006/relationships/hyperlink"/><Relationship Id="rId48" Target="https://legislativa.tuke.sk/legislativa" TargetMode="External" Type="http://schemas.openxmlformats.org/officeDocument/2006/relationships/hyperlink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